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5CE5A" w14:textId="394E60B5" w:rsidR="0012388D" w:rsidRPr="00DC604B" w:rsidRDefault="00D932E8" w:rsidP="00CA5734">
      <w:pPr>
        <w:rPr>
          <w:rFonts w:cs="Arial"/>
        </w:rPr>
      </w:pPr>
      <w:r>
        <w:rPr>
          <w:rFonts w:cs="Arial"/>
        </w:rPr>
        <w:softHyphen/>
      </w:r>
      <w:bookmarkStart w:id="0" w:name="_GoBack"/>
      <w:r w:rsidR="00772BDC" w:rsidRPr="00DC604B">
        <w:rPr>
          <w:rFonts w:cs="Arial"/>
          <w:noProof/>
          <w:lang w:eastAsia="en-GB" w:bidi="ar-SA"/>
        </w:rPr>
        <w:drawing>
          <wp:inline distT="0" distB="0" distL="0" distR="0" wp14:anchorId="3957ACC2" wp14:editId="738B5847">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675A1754" w14:textId="77777777" w:rsidR="00A671E6" w:rsidRPr="00DC604B" w:rsidRDefault="00A671E6" w:rsidP="00A671E6"/>
    <w:p w14:paraId="0DE29A63" w14:textId="64F37D43" w:rsidR="00A671E6" w:rsidRPr="00DC604B" w:rsidRDefault="00DC604B" w:rsidP="00A671E6">
      <w:pPr>
        <w:rPr>
          <w:b/>
          <w:sz w:val="28"/>
          <w:szCs w:val="28"/>
        </w:rPr>
      </w:pPr>
      <w:r w:rsidRPr="00DC604B">
        <w:rPr>
          <w:b/>
          <w:sz w:val="28"/>
          <w:szCs w:val="28"/>
        </w:rPr>
        <w:t>12 May 2021</w:t>
      </w:r>
    </w:p>
    <w:p w14:paraId="6C196514" w14:textId="50E31AC4" w:rsidR="00DC604B" w:rsidRPr="00DC604B" w:rsidRDefault="00DC604B" w:rsidP="00A671E6">
      <w:pPr>
        <w:rPr>
          <w:b/>
          <w:sz w:val="28"/>
          <w:szCs w:val="28"/>
        </w:rPr>
      </w:pPr>
      <w:r w:rsidRPr="00DC604B">
        <w:rPr>
          <w:b/>
          <w:sz w:val="28"/>
          <w:szCs w:val="28"/>
        </w:rPr>
        <w:t>155-21</w:t>
      </w:r>
    </w:p>
    <w:p w14:paraId="494978E5" w14:textId="77777777" w:rsidR="00A671E6" w:rsidRPr="00DC604B" w:rsidRDefault="00A671E6" w:rsidP="00A671E6"/>
    <w:p w14:paraId="22AFB41F" w14:textId="2B4BC6C0" w:rsidR="0012388D" w:rsidRPr="00DC604B" w:rsidRDefault="00B425AA" w:rsidP="00B425AA">
      <w:pPr>
        <w:pStyle w:val="FSTitle"/>
      </w:pPr>
      <w:r w:rsidRPr="00DC604B">
        <w:t>A</w:t>
      </w:r>
      <w:r w:rsidR="00DD265C" w:rsidRPr="00DC604B">
        <w:t>pproval</w:t>
      </w:r>
      <w:r w:rsidRPr="00DC604B">
        <w:t xml:space="preserve"> </w:t>
      </w:r>
      <w:r w:rsidR="00B77C18" w:rsidRPr="00DC604B">
        <w:t>r</w:t>
      </w:r>
      <w:r w:rsidR="00DD265C" w:rsidRPr="00DC604B">
        <w:t>eport</w:t>
      </w:r>
      <w:r w:rsidRPr="00DC604B">
        <w:t xml:space="preserve"> – </w:t>
      </w:r>
      <w:r w:rsidR="00EB6590" w:rsidRPr="00DC604B">
        <w:t>A</w:t>
      </w:r>
      <w:r w:rsidR="00DD265C" w:rsidRPr="00DC604B">
        <w:t>pplication</w:t>
      </w:r>
      <w:r w:rsidR="003041C4" w:rsidRPr="00DC604B">
        <w:t xml:space="preserve"> A1193</w:t>
      </w:r>
    </w:p>
    <w:p w14:paraId="499DD550" w14:textId="77777777" w:rsidR="003A7B84" w:rsidRPr="00DC604B" w:rsidRDefault="003A7B84" w:rsidP="00A671E6"/>
    <w:p w14:paraId="470D45EA" w14:textId="4E98B73E" w:rsidR="0012388D" w:rsidRPr="00DC604B" w:rsidRDefault="003041C4" w:rsidP="00B425AA">
      <w:pPr>
        <w:pStyle w:val="FSTitle"/>
      </w:pPr>
      <w:r w:rsidRPr="00DC604B">
        <w:t>Irradiation as a phytosanitary measure for all fresh fruit and vegetables</w:t>
      </w:r>
    </w:p>
    <w:p w14:paraId="633FF267" w14:textId="77777777" w:rsidR="003A7B84" w:rsidRPr="00DC604B" w:rsidRDefault="003A7B84" w:rsidP="00871116">
      <w:pPr>
        <w:pBdr>
          <w:bottom w:val="single" w:sz="12" w:space="1" w:color="auto"/>
        </w:pBdr>
        <w:tabs>
          <w:tab w:val="left" w:pos="1140"/>
        </w:tabs>
        <w:rPr>
          <w:rFonts w:cs="Arial"/>
          <w:bCs/>
        </w:rPr>
      </w:pPr>
    </w:p>
    <w:p w14:paraId="274355CD" w14:textId="77777777" w:rsidR="003A7B84" w:rsidRPr="00DC604B" w:rsidRDefault="003A7B84" w:rsidP="003A7B84"/>
    <w:p w14:paraId="5D3F6107" w14:textId="15E275B8" w:rsidR="00EB6590" w:rsidRPr="00DC604B" w:rsidRDefault="000F3CFE" w:rsidP="00CA5734">
      <w:r w:rsidRPr="00DC604B">
        <w:t>Food Standards Australia New Zealand (FSANZ) has</w:t>
      </w:r>
      <w:r w:rsidR="00081B0A" w:rsidRPr="00DC604B">
        <w:t xml:space="preserve"> assessed an application</w:t>
      </w:r>
      <w:r w:rsidR="00CA5734" w:rsidRPr="00DC604B">
        <w:t xml:space="preserve"> </w:t>
      </w:r>
      <w:r w:rsidR="003041C4" w:rsidRPr="00DC604B">
        <w:t xml:space="preserve">made </w:t>
      </w:r>
      <w:r w:rsidR="00081B0A" w:rsidRPr="00DC604B">
        <w:t xml:space="preserve">by </w:t>
      </w:r>
      <w:r w:rsidR="003041C4" w:rsidRPr="00DC604B">
        <w:t xml:space="preserve">the Queensland </w:t>
      </w:r>
      <w:r w:rsidR="00880B28" w:rsidRPr="00DC604B">
        <w:t xml:space="preserve">Government </w:t>
      </w:r>
      <w:r w:rsidR="003041C4" w:rsidRPr="00DC604B">
        <w:t>Department of Agriculture and Fisheries</w:t>
      </w:r>
      <w:r w:rsidR="003A7B84" w:rsidRPr="00DC604B">
        <w:t xml:space="preserve"> </w:t>
      </w:r>
      <w:r w:rsidR="00C90E13" w:rsidRPr="00DC604B">
        <w:t xml:space="preserve">(QLD DAF) </w:t>
      </w:r>
      <w:r w:rsidR="00CA5734" w:rsidRPr="00DC604B">
        <w:t>to</w:t>
      </w:r>
      <w:r w:rsidR="005D1408" w:rsidRPr="00DC604B">
        <w:t xml:space="preserve"> permit the use of irradiation </w:t>
      </w:r>
      <w:r w:rsidR="00C90E13" w:rsidRPr="00DC604B">
        <w:t xml:space="preserve">on </w:t>
      </w:r>
      <w:r w:rsidR="005D1408" w:rsidRPr="00DC604B">
        <w:t>fresh fruit and vegetables</w:t>
      </w:r>
      <w:r w:rsidR="00C90E13" w:rsidRPr="00DC604B">
        <w:t xml:space="preserve"> as a phytosanitary measure (pest disinfestation)</w:t>
      </w:r>
      <w:r w:rsidR="00BE0464" w:rsidRPr="00DC604B">
        <w:t>, and has prepared a draft variation</w:t>
      </w:r>
      <w:r w:rsidR="005D1408" w:rsidRPr="00DC604B">
        <w:t>.</w:t>
      </w:r>
    </w:p>
    <w:p w14:paraId="637A354A" w14:textId="77777777" w:rsidR="00CA5734" w:rsidRPr="00DC604B" w:rsidRDefault="00CA5734" w:rsidP="00CA5734"/>
    <w:p w14:paraId="625B395D" w14:textId="0061025A" w:rsidR="00081B0A" w:rsidRPr="00DC604B" w:rsidRDefault="00081B0A" w:rsidP="00CA5734">
      <w:r w:rsidRPr="00DC604B">
        <w:t xml:space="preserve">On </w:t>
      </w:r>
      <w:r w:rsidR="005D1408" w:rsidRPr="00DC604B">
        <w:t>30 October 2020</w:t>
      </w:r>
      <w:r w:rsidR="003A7B84" w:rsidRPr="00DC604B">
        <w:t>,</w:t>
      </w:r>
      <w:r w:rsidRPr="00DC604B">
        <w:t xml:space="preserve"> FSANZ sought </w:t>
      </w:r>
      <w:r w:rsidR="003A7B84" w:rsidRPr="00DC604B">
        <w:t xml:space="preserve">submissions </w:t>
      </w:r>
      <w:r w:rsidR="00A671E6" w:rsidRPr="00DC604B">
        <w:t xml:space="preserve">on </w:t>
      </w:r>
      <w:r w:rsidR="00D4059F" w:rsidRPr="00DC604B">
        <w:t xml:space="preserve">the </w:t>
      </w:r>
      <w:r w:rsidR="00F526BD" w:rsidRPr="00DC604B">
        <w:t xml:space="preserve">draft </w:t>
      </w:r>
      <w:r w:rsidR="00E30092" w:rsidRPr="00DC604B">
        <w:t xml:space="preserve">variation </w:t>
      </w:r>
      <w:r w:rsidR="003A7B84" w:rsidRPr="00DC604B">
        <w:t xml:space="preserve">and published an </w:t>
      </w:r>
      <w:r w:rsidR="00EC21DF" w:rsidRPr="00DC604B">
        <w:t>associated r</w:t>
      </w:r>
      <w:r w:rsidR="003A7B84" w:rsidRPr="00DC604B">
        <w:t>eport</w:t>
      </w:r>
      <w:r w:rsidRPr="00DC604B">
        <w:t>.</w:t>
      </w:r>
      <w:r w:rsidR="00F526BD" w:rsidRPr="00DC604B">
        <w:t xml:space="preserve"> FSANZ received </w:t>
      </w:r>
      <w:r w:rsidR="00880CB6" w:rsidRPr="00DC604B">
        <w:t xml:space="preserve">480 </w:t>
      </w:r>
      <w:r w:rsidR="00006CBF" w:rsidRPr="00DC604B">
        <w:t xml:space="preserve">submissions </w:t>
      </w:r>
      <w:r w:rsidR="00C90E13" w:rsidRPr="00DC604B">
        <w:t xml:space="preserve">plus </w:t>
      </w:r>
      <w:r w:rsidR="00006CBF" w:rsidRPr="00DC604B">
        <w:t xml:space="preserve">another three </w:t>
      </w:r>
      <w:r w:rsidR="008252C7" w:rsidRPr="00DC604B">
        <w:t>after the closing date</w:t>
      </w:r>
      <w:r w:rsidR="00F526BD" w:rsidRPr="00DC604B">
        <w:t>.</w:t>
      </w:r>
    </w:p>
    <w:p w14:paraId="60B48AB0" w14:textId="77777777" w:rsidR="00CA5734" w:rsidRPr="00DC604B" w:rsidRDefault="00CA5734" w:rsidP="00CA5734"/>
    <w:p w14:paraId="09395CFB" w14:textId="48E2D144" w:rsidR="00081B0A" w:rsidRPr="00DC604B" w:rsidRDefault="00081B0A" w:rsidP="00CA5734">
      <w:r w:rsidRPr="00DC604B">
        <w:t xml:space="preserve">FSANZ approved the draft </w:t>
      </w:r>
      <w:r w:rsidR="005D1408" w:rsidRPr="00DC604B">
        <w:t xml:space="preserve">variation </w:t>
      </w:r>
      <w:r w:rsidR="0012388D" w:rsidRPr="00DC604B">
        <w:t xml:space="preserve">on </w:t>
      </w:r>
      <w:r w:rsidR="00832D4E" w:rsidRPr="00DC604B">
        <w:t>28 April 2021</w:t>
      </w:r>
      <w:r w:rsidRPr="00DC604B">
        <w:t xml:space="preserve">. </w:t>
      </w:r>
      <w:r w:rsidR="003A7B84" w:rsidRPr="00DC604B">
        <w:t xml:space="preserve">The </w:t>
      </w:r>
      <w:r w:rsidR="00415FB1" w:rsidRPr="00DC604B">
        <w:t xml:space="preserve">Food Ministers’ Meeting (formerly the </w:t>
      </w:r>
      <w:r w:rsidR="00011187" w:rsidRPr="00DC604B">
        <w:rPr>
          <w:rFonts w:cs="Helvetica"/>
          <w:lang w:val="en-AU"/>
        </w:rPr>
        <w:t xml:space="preserve">Australia and New Zealand Ministerial Forum on Food </w:t>
      </w:r>
      <w:r w:rsidR="00011187" w:rsidRPr="00DC604B">
        <w:rPr>
          <w:rFonts w:cs="Arial"/>
        </w:rPr>
        <w:t>Regulation</w:t>
      </w:r>
      <w:r w:rsidR="00415FB1" w:rsidRPr="00DC604B">
        <w:rPr>
          <w:rFonts w:cs="Arial"/>
        </w:rPr>
        <w:t>)</w:t>
      </w:r>
      <w:r w:rsidR="003A7B84" w:rsidRPr="00DC604B">
        <w:t xml:space="preserve"> was notified of FSANZ’s decision on </w:t>
      </w:r>
      <w:r w:rsidR="00DC604B" w:rsidRPr="00DC604B">
        <w:t>12 May 2021</w:t>
      </w:r>
      <w:r w:rsidR="003A7B84" w:rsidRPr="00DC604B">
        <w:t>.</w:t>
      </w:r>
    </w:p>
    <w:p w14:paraId="78B0B0E4" w14:textId="77777777" w:rsidR="00CA5734" w:rsidRPr="00DC604B" w:rsidRDefault="00CA5734" w:rsidP="00CA5734"/>
    <w:p w14:paraId="2D7F255F" w14:textId="37C8EBAF" w:rsidR="00081B0A" w:rsidRPr="00DC604B" w:rsidRDefault="003A7B84" w:rsidP="00292B9B">
      <w:r w:rsidRPr="00DC604B">
        <w:t>This R</w:t>
      </w:r>
      <w:r w:rsidR="00B425AA" w:rsidRPr="00DC604B">
        <w:t xml:space="preserve">eport is provided pursuant to </w:t>
      </w:r>
      <w:r w:rsidR="009A2699" w:rsidRPr="00DC604B">
        <w:t>paragraph</w:t>
      </w:r>
      <w:r w:rsidR="00081B0A" w:rsidRPr="00DC604B">
        <w:t xml:space="preserve"> 33(1)(b) of the </w:t>
      </w:r>
      <w:r w:rsidR="00081B0A" w:rsidRPr="00DC604B">
        <w:rPr>
          <w:i/>
        </w:rPr>
        <w:t>Food Standards Australia New Zealand Act 1991</w:t>
      </w:r>
      <w:r w:rsidR="00081B0A" w:rsidRPr="00DC604B">
        <w:t>.</w:t>
      </w:r>
    </w:p>
    <w:p w14:paraId="01C981CF" w14:textId="77777777" w:rsidR="00F526BD" w:rsidRPr="00DC604B" w:rsidRDefault="00F526BD" w:rsidP="00A671E6"/>
    <w:p w14:paraId="2A85A2F0" w14:textId="77777777" w:rsidR="00EB6590" w:rsidRPr="00DC604B" w:rsidRDefault="00EB6590" w:rsidP="00F526BD"/>
    <w:bookmarkEnd w:id="0"/>
    <w:p w14:paraId="63C8A8A1" w14:textId="77777777" w:rsidR="00A671E6" w:rsidRDefault="00A671E6" w:rsidP="00CC5468">
      <w:pPr>
        <w:sectPr w:rsidR="00A671E6" w:rsidSect="00EB576F">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23FA185C"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4C853C2A" w14:textId="77777777" w:rsidR="00CE59AA" w:rsidRPr="00346622" w:rsidRDefault="00CE59AA" w:rsidP="00CE59AA">
      <w:pPr>
        <w:rPr>
          <w:rFonts w:cs="Arial"/>
          <w:sz w:val="20"/>
          <w:szCs w:val="20"/>
        </w:rPr>
      </w:pPr>
    </w:p>
    <w:p w14:paraId="1D1BCDCB" w14:textId="506D7F1E" w:rsidR="00013986"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71204356" w:history="1">
        <w:r w:rsidR="00013986" w:rsidRPr="00C5055B">
          <w:rPr>
            <w:rStyle w:val="Hyperlink"/>
            <w:noProof/>
          </w:rPr>
          <w:t>Executive summary</w:t>
        </w:r>
        <w:r w:rsidR="00013986">
          <w:rPr>
            <w:noProof/>
            <w:webHidden/>
          </w:rPr>
          <w:tab/>
        </w:r>
        <w:r w:rsidR="00013986">
          <w:rPr>
            <w:noProof/>
            <w:webHidden/>
          </w:rPr>
          <w:fldChar w:fldCharType="begin"/>
        </w:r>
        <w:r w:rsidR="00013986">
          <w:rPr>
            <w:noProof/>
            <w:webHidden/>
          </w:rPr>
          <w:instrText xml:space="preserve"> PAGEREF _Toc71204356 \h </w:instrText>
        </w:r>
        <w:r w:rsidR="00013986">
          <w:rPr>
            <w:noProof/>
            <w:webHidden/>
          </w:rPr>
        </w:r>
        <w:r w:rsidR="00013986">
          <w:rPr>
            <w:noProof/>
            <w:webHidden/>
          </w:rPr>
          <w:fldChar w:fldCharType="separate"/>
        </w:r>
        <w:r w:rsidR="00013986">
          <w:rPr>
            <w:noProof/>
            <w:webHidden/>
          </w:rPr>
          <w:t>4</w:t>
        </w:r>
        <w:r w:rsidR="00013986">
          <w:rPr>
            <w:noProof/>
            <w:webHidden/>
          </w:rPr>
          <w:fldChar w:fldCharType="end"/>
        </w:r>
      </w:hyperlink>
    </w:p>
    <w:p w14:paraId="4EB2B571" w14:textId="1AC3A38E" w:rsidR="00013986" w:rsidRDefault="00DC604B">
      <w:pPr>
        <w:pStyle w:val="TOC1"/>
        <w:tabs>
          <w:tab w:val="left" w:pos="440"/>
          <w:tab w:val="right" w:leader="dot" w:pos="9060"/>
        </w:tabs>
        <w:rPr>
          <w:rFonts w:eastAsiaTheme="minorEastAsia" w:cstheme="minorBidi"/>
          <w:b w:val="0"/>
          <w:bCs w:val="0"/>
          <w:caps w:val="0"/>
          <w:noProof/>
          <w:sz w:val="22"/>
          <w:szCs w:val="22"/>
          <w:lang w:eastAsia="en-GB" w:bidi="ar-SA"/>
        </w:rPr>
      </w:pPr>
      <w:hyperlink w:anchor="_Toc71204357" w:history="1">
        <w:r w:rsidR="00013986" w:rsidRPr="00C5055B">
          <w:rPr>
            <w:rStyle w:val="Hyperlink"/>
            <w:noProof/>
          </w:rPr>
          <w:t>1</w:t>
        </w:r>
        <w:r w:rsidR="00013986">
          <w:rPr>
            <w:rFonts w:eastAsiaTheme="minorEastAsia" w:cstheme="minorBidi"/>
            <w:b w:val="0"/>
            <w:bCs w:val="0"/>
            <w:caps w:val="0"/>
            <w:noProof/>
            <w:sz w:val="22"/>
            <w:szCs w:val="22"/>
            <w:lang w:eastAsia="en-GB" w:bidi="ar-SA"/>
          </w:rPr>
          <w:tab/>
        </w:r>
        <w:r w:rsidR="00013986" w:rsidRPr="00C5055B">
          <w:rPr>
            <w:rStyle w:val="Hyperlink"/>
            <w:noProof/>
          </w:rPr>
          <w:t>Introduction</w:t>
        </w:r>
        <w:r w:rsidR="00013986">
          <w:rPr>
            <w:noProof/>
            <w:webHidden/>
          </w:rPr>
          <w:tab/>
        </w:r>
        <w:r w:rsidR="00013986">
          <w:rPr>
            <w:noProof/>
            <w:webHidden/>
          </w:rPr>
          <w:fldChar w:fldCharType="begin"/>
        </w:r>
        <w:r w:rsidR="00013986">
          <w:rPr>
            <w:noProof/>
            <w:webHidden/>
          </w:rPr>
          <w:instrText xml:space="preserve"> PAGEREF _Toc71204357 \h </w:instrText>
        </w:r>
        <w:r w:rsidR="00013986">
          <w:rPr>
            <w:noProof/>
            <w:webHidden/>
          </w:rPr>
        </w:r>
        <w:r w:rsidR="00013986">
          <w:rPr>
            <w:noProof/>
            <w:webHidden/>
          </w:rPr>
          <w:fldChar w:fldCharType="separate"/>
        </w:r>
        <w:r w:rsidR="00013986">
          <w:rPr>
            <w:noProof/>
            <w:webHidden/>
          </w:rPr>
          <w:t>6</w:t>
        </w:r>
        <w:r w:rsidR="00013986">
          <w:rPr>
            <w:noProof/>
            <w:webHidden/>
          </w:rPr>
          <w:fldChar w:fldCharType="end"/>
        </w:r>
      </w:hyperlink>
    </w:p>
    <w:p w14:paraId="38E7A1F1" w14:textId="348EF042"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58" w:history="1">
        <w:r w:rsidR="00013986" w:rsidRPr="00C5055B">
          <w:rPr>
            <w:rStyle w:val="Hyperlink"/>
            <w:noProof/>
          </w:rPr>
          <w:t>1.1</w:t>
        </w:r>
        <w:r w:rsidR="00013986">
          <w:rPr>
            <w:rFonts w:eastAsiaTheme="minorEastAsia" w:cstheme="minorBidi"/>
            <w:smallCaps w:val="0"/>
            <w:noProof/>
            <w:sz w:val="22"/>
            <w:szCs w:val="22"/>
            <w:lang w:eastAsia="en-GB" w:bidi="ar-SA"/>
          </w:rPr>
          <w:tab/>
        </w:r>
        <w:r w:rsidR="00013986" w:rsidRPr="00C5055B">
          <w:rPr>
            <w:rStyle w:val="Hyperlink"/>
            <w:noProof/>
          </w:rPr>
          <w:t>The applicant</w:t>
        </w:r>
        <w:r w:rsidR="00013986">
          <w:rPr>
            <w:noProof/>
            <w:webHidden/>
          </w:rPr>
          <w:tab/>
        </w:r>
        <w:r w:rsidR="00013986">
          <w:rPr>
            <w:noProof/>
            <w:webHidden/>
          </w:rPr>
          <w:fldChar w:fldCharType="begin"/>
        </w:r>
        <w:r w:rsidR="00013986">
          <w:rPr>
            <w:noProof/>
            <w:webHidden/>
          </w:rPr>
          <w:instrText xml:space="preserve"> PAGEREF _Toc71204358 \h </w:instrText>
        </w:r>
        <w:r w:rsidR="00013986">
          <w:rPr>
            <w:noProof/>
            <w:webHidden/>
          </w:rPr>
        </w:r>
        <w:r w:rsidR="00013986">
          <w:rPr>
            <w:noProof/>
            <w:webHidden/>
          </w:rPr>
          <w:fldChar w:fldCharType="separate"/>
        </w:r>
        <w:r w:rsidR="00013986">
          <w:rPr>
            <w:noProof/>
            <w:webHidden/>
          </w:rPr>
          <w:t>6</w:t>
        </w:r>
        <w:r w:rsidR="00013986">
          <w:rPr>
            <w:noProof/>
            <w:webHidden/>
          </w:rPr>
          <w:fldChar w:fldCharType="end"/>
        </w:r>
      </w:hyperlink>
    </w:p>
    <w:p w14:paraId="293C77FD" w14:textId="0E2B474C"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59" w:history="1">
        <w:r w:rsidR="00013986" w:rsidRPr="00C5055B">
          <w:rPr>
            <w:rStyle w:val="Hyperlink"/>
            <w:noProof/>
          </w:rPr>
          <w:t>1.2</w:t>
        </w:r>
        <w:r w:rsidR="00013986">
          <w:rPr>
            <w:rFonts w:eastAsiaTheme="minorEastAsia" w:cstheme="minorBidi"/>
            <w:smallCaps w:val="0"/>
            <w:noProof/>
            <w:sz w:val="22"/>
            <w:szCs w:val="22"/>
            <w:lang w:eastAsia="en-GB" w:bidi="ar-SA"/>
          </w:rPr>
          <w:tab/>
        </w:r>
        <w:r w:rsidR="00013986" w:rsidRPr="00C5055B">
          <w:rPr>
            <w:rStyle w:val="Hyperlink"/>
            <w:noProof/>
          </w:rPr>
          <w:t>The application</w:t>
        </w:r>
        <w:r w:rsidR="00013986">
          <w:rPr>
            <w:noProof/>
            <w:webHidden/>
          </w:rPr>
          <w:tab/>
        </w:r>
        <w:r w:rsidR="00013986">
          <w:rPr>
            <w:noProof/>
            <w:webHidden/>
          </w:rPr>
          <w:fldChar w:fldCharType="begin"/>
        </w:r>
        <w:r w:rsidR="00013986">
          <w:rPr>
            <w:noProof/>
            <w:webHidden/>
          </w:rPr>
          <w:instrText xml:space="preserve"> PAGEREF _Toc71204359 \h </w:instrText>
        </w:r>
        <w:r w:rsidR="00013986">
          <w:rPr>
            <w:noProof/>
            <w:webHidden/>
          </w:rPr>
        </w:r>
        <w:r w:rsidR="00013986">
          <w:rPr>
            <w:noProof/>
            <w:webHidden/>
          </w:rPr>
          <w:fldChar w:fldCharType="separate"/>
        </w:r>
        <w:r w:rsidR="00013986">
          <w:rPr>
            <w:noProof/>
            <w:webHidden/>
          </w:rPr>
          <w:t>6</w:t>
        </w:r>
        <w:r w:rsidR="00013986">
          <w:rPr>
            <w:noProof/>
            <w:webHidden/>
          </w:rPr>
          <w:fldChar w:fldCharType="end"/>
        </w:r>
      </w:hyperlink>
    </w:p>
    <w:p w14:paraId="0FD3EBCC" w14:textId="0599A7BB"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60" w:history="1">
        <w:r w:rsidR="00013986" w:rsidRPr="00C5055B">
          <w:rPr>
            <w:rStyle w:val="Hyperlink"/>
            <w:noProof/>
          </w:rPr>
          <w:t>1.3</w:t>
        </w:r>
        <w:r w:rsidR="00013986">
          <w:rPr>
            <w:rFonts w:eastAsiaTheme="minorEastAsia" w:cstheme="minorBidi"/>
            <w:smallCaps w:val="0"/>
            <w:noProof/>
            <w:sz w:val="22"/>
            <w:szCs w:val="22"/>
            <w:lang w:eastAsia="en-GB" w:bidi="ar-SA"/>
          </w:rPr>
          <w:tab/>
        </w:r>
        <w:r w:rsidR="00013986" w:rsidRPr="00C5055B">
          <w:rPr>
            <w:rStyle w:val="Hyperlink"/>
            <w:noProof/>
          </w:rPr>
          <w:t>The current Standard</w:t>
        </w:r>
        <w:r w:rsidR="00013986">
          <w:rPr>
            <w:noProof/>
            <w:webHidden/>
          </w:rPr>
          <w:tab/>
        </w:r>
        <w:r w:rsidR="00013986">
          <w:rPr>
            <w:noProof/>
            <w:webHidden/>
          </w:rPr>
          <w:fldChar w:fldCharType="begin"/>
        </w:r>
        <w:r w:rsidR="00013986">
          <w:rPr>
            <w:noProof/>
            <w:webHidden/>
          </w:rPr>
          <w:instrText xml:space="preserve"> PAGEREF _Toc71204360 \h </w:instrText>
        </w:r>
        <w:r w:rsidR="00013986">
          <w:rPr>
            <w:noProof/>
            <w:webHidden/>
          </w:rPr>
        </w:r>
        <w:r w:rsidR="00013986">
          <w:rPr>
            <w:noProof/>
            <w:webHidden/>
          </w:rPr>
          <w:fldChar w:fldCharType="separate"/>
        </w:r>
        <w:r w:rsidR="00013986">
          <w:rPr>
            <w:noProof/>
            <w:webHidden/>
          </w:rPr>
          <w:t>7</w:t>
        </w:r>
        <w:r w:rsidR="00013986">
          <w:rPr>
            <w:noProof/>
            <w:webHidden/>
          </w:rPr>
          <w:fldChar w:fldCharType="end"/>
        </w:r>
      </w:hyperlink>
    </w:p>
    <w:p w14:paraId="50099E24" w14:textId="796442A5" w:rsidR="00013986" w:rsidRDefault="00DC604B">
      <w:pPr>
        <w:pStyle w:val="TOC3"/>
        <w:tabs>
          <w:tab w:val="left" w:pos="1100"/>
          <w:tab w:val="right" w:leader="dot" w:pos="9060"/>
        </w:tabs>
        <w:rPr>
          <w:rFonts w:eastAsiaTheme="minorEastAsia" w:cstheme="minorBidi"/>
          <w:i w:val="0"/>
          <w:iCs w:val="0"/>
          <w:noProof/>
          <w:sz w:val="22"/>
          <w:szCs w:val="22"/>
          <w:lang w:eastAsia="en-GB" w:bidi="ar-SA"/>
        </w:rPr>
      </w:pPr>
      <w:hyperlink w:anchor="_Toc71204361" w:history="1">
        <w:r w:rsidR="00013986" w:rsidRPr="00C5055B">
          <w:rPr>
            <w:rStyle w:val="Hyperlink"/>
            <w:noProof/>
          </w:rPr>
          <w:t>1.3.1</w:t>
        </w:r>
        <w:r w:rsidR="00013986">
          <w:rPr>
            <w:rFonts w:eastAsiaTheme="minorEastAsia" w:cstheme="minorBidi"/>
            <w:i w:val="0"/>
            <w:iCs w:val="0"/>
            <w:noProof/>
            <w:sz w:val="22"/>
            <w:szCs w:val="22"/>
            <w:lang w:eastAsia="en-GB" w:bidi="ar-SA"/>
          </w:rPr>
          <w:tab/>
        </w:r>
        <w:r w:rsidR="00013986" w:rsidRPr="00C5055B">
          <w:rPr>
            <w:rStyle w:val="Hyperlink"/>
            <w:noProof/>
          </w:rPr>
          <w:t>Permitted use</w:t>
        </w:r>
        <w:r w:rsidR="00013986">
          <w:rPr>
            <w:noProof/>
            <w:webHidden/>
          </w:rPr>
          <w:tab/>
        </w:r>
        <w:r w:rsidR="00013986">
          <w:rPr>
            <w:noProof/>
            <w:webHidden/>
          </w:rPr>
          <w:fldChar w:fldCharType="begin"/>
        </w:r>
        <w:r w:rsidR="00013986">
          <w:rPr>
            <w:noProof/>
            <w:webHidden/>
          </w:rPr>
          <w:instrText xml:space="preserve"> PAGEREF _Toc71204361 \h </w:instrText>
        </w:r>
        <w:r w:rsidR="00013986">
          <w:rPr>
            <w:noProof/>
            <w:webHidden/>
          </w:rPr>
        </w:r>
        <w:r w:rsidR="00013986">
          <w:rPr>
            <w:noProof/>
            <w:webHidden/>
          </w:rPr>
          <w:fldChar w:fldCharType="separate"/>
        </w:r>
        <w:r w:rsidR="00013986">
          <w:rPr>
            <w:noProof/>
            <w:webHidden/>
          </w:rPr>
          <w:t>7</w:t>
        </w:r>
        <w:r w:rsidR="00013986">
          <w:rPr>
            <w:noProof/>
            <w:webHidden/>
          </w:rPr>
          <w:fldChar w:fldCharType="end"/>
        </w:r>
      </w:hyperlink>
    </w:p>
    <w:p w14:paraId="1C04AB4A" w14:textId="5A13127C" w:rsidR="00013986" w:rsidRDefault="00DC604B">
      <w:pPr>
        <w:pStyle w:val="TOC3"/>
        <w:tabs>
          <w:tab w:val="left" w:pos="1100"/>
          <w:tab w:val="right" w:leader="dot" w:pos="9060"/>
        </w:tabs>
        <w:rPr>
          <w:rFonts w:eastAsiaTheme="minorEastAsia" w:cstheme="minorBidi"/>
          <w:i w:val="0"/>
          <w:iCs w:val="0"/>
          <w:noProof/>
          <w:sz w:val="22"/>
          <w:szCs w:val="22"/>
          <w:lang w:eastAsia="en-GB" w:bidi="ar-SA"/>
        </w:rPr>
      </w:pPr>
      <w:hyperlink w:anchor="_Toc71204362" w:history="1">
        <w:r w:rsidR="00013986" w:rsidRPr="00C5055B">
          <w:rPr>
            <w:rStyle w:val="Hyperlink"/>
            <w:noProof/>
          </w:rPr>
          <w:t>1.3.2</w:t>
        </w:r>
        <w:r w:rsidR="00013986">
          <w:rPr>
            <w:rFonts w:eastAsiaTheme="minorEastAsia" w:cstheme="minorBidi"/>
            <w:i w:val="0"/>
            <w:iCs w:val="0"/>
            <w:noProof/>
            <w:sz w:val="22"/>
            <w:szCs w:val="22"/>
            <w:lang w:eastAsia="en-GB" w:bidi="ar-SA"/>
          </w:rPr>
          <w:tab/>
        </w:r>
        <w:r w:rsidR="00013986" w:rsidRPr="00C5055B">
          <w:rPr>
            <w:rStyle w:val="Hyperlink"/>
            <w:noProof/>
          </w:rPr>
          <w:t>Record keeping</w:t>
        </w:r>
        <w:r w:rsidR="00013986">
          <w:rPr>
            <w:noProof/>
            <w:webHidden/>
          </w:rPr>
          <w:tab/>
        </w:r>
        <w:r w:rsidR="00013986">
          <w:rPr>
            <w:noProof/>
            <w:webHidden/>
          </w:rPr>
          <w:fldChar w:fldCharType="begin"/>
        </w:r>
        <w:r w:rsidR="00013986">
          <w:rPr>
            <w:noProof/>
            <w:webHidden/>
          </w:rPr>
          <w:instrText xml:space="preserve"> PAGEREF _Toc71204362 \h </w:instrText>
        </w:r>
        <w:r w:rsidR="00013986">
          <w:rPr>
            <w:noProof/>
            <w:webHidden/>
          </w:rPr>
        </w:r>
        <w:r w:rsidR="00013986">
          <w:rPr>
            <w:noProof/>
            <w:webHidden/>
          </w:rPr>
          <w:fldChar w:fldCharType="separate"/>
        </w:r>
        <w:r w:rsidR="00013986">
          <w:rPr>
            <w:noProof/>
            <w:webHidden/>
          </w:rPr>
          <w:t>7</w:t>
        </w:r>
        <w:r w:rsidR="00013986">
          <w:rPr>
            <w:noProof/>
            <w:webHidden/>
          </w:rPr>
          <w:fldChar w:fldCharType="end"/>
        </w:r>
      </w:hyperlink>
    </w:p>
    <w:p w14:paraId="7A2BF20C" w14:textId="7995C8CE" w:rsidR="00013986" w:rsidRDefault="00DC604B">
      <w:pPr>
        <w:pStyle w:val="TOC3"/>
        <w:tabs>
          <w:tab w:val="left" w:pos="1100"/>
          <w:tab w:val="right" w:leader="dot" w:pos="9060"/>
        </w:tabs>
        <w:rPr>
          <w:rFonts w:eastAsiaTheme="minorEastAsia" w:cstheme="minorBidi"/>
          <w:i w:val="0"/>
          <w:iCs w:val="0"/>
          <w:noProof/>
          <w:sz w:val="22"/>
          <w:szCs w:val="22"/>
          <w:lang w:eastAsia="en-GB" w:bidi="ar-SA"/>
        </w:rPr>
      </w:pPr>
      <w:hyperlink w:anchor="_Toc71204363" w:history="1">
        <w:r w:rsidR="00013986" w:rsidRPr="00C5055B">
          <w:rPr>
            <w:rStyle w:val="Hyperlink"/>
            <w:noProof/>
          </w:rPr>
          <w:t>1.3.3</w:t>
        </w:r>
        <w:r w:rsidR="00013986">
          <w:rPr>
            <w:rFonts w:eastAsiaTheme="minorEastAsia" w:cstheme="minorBidi"/>
            <w:i w:val="0"/>
            <w:iCs w:val="0"/>
            <w:noProof/>
            <w:sz w:val="22"/>
            <w:szCs w:val="22"/>
            <w:lang w:eastAsia="en-GB" w:bidi="ar-SA"/>
          </w:rPr>
          <w:tab/>
        </w:r>
        <w:r w:rsidR="00013986" w:rsidRPr="00C5055B">
          <w:rPr>
            <w:rStyle w:val="Hyperlink"/>
            <w:noProof/>
          </w:rPr>
          <w:t>Labelling requirements</w:t>
        </w:r>
        <w:r w:rsidR="00013986">
          <w:rPr>
            <w:noProof/>
            <w:webHidden/>
          </w:rPr>
          <w:tab/>
        </w:r>
        <w:r w:rsidR="00013986">
          <w:rPr>
            <w:noProof/>
            <w:webHidden/>
          </w:rPr>
          <w:fldChar w:fldCharType="begin"/>
        </w:r>
        <w:r w:rsidR="00013986">
          <w:rPr>
            <w:noProof/>
            <w:webHidden/>
          </w:rPr>
          <w:instrText xml:space="preserve"> PAGEREF _Toc71204363 \h </w:instrText>
        </w:r>
        <w:r w:rsidR="00013986">
          <w:rPr>
            <w:noProof/>
            <w:webHidden/>
          </w:rPr>
        </w:r>
        <w:r w:rsidR="00013986">
          <w:rPr>
            <w:noProof/>
            <w:webHidden/>
          </w:rPr>
          <w:fldChar w:fldCharType="separate"/>
        </w:r>
        <w:r w:rsidR="00013986">
          <w:rPr>
            <w:noProof/>
            <w:webHidden/>
          </w:rPr>
          <w:t>7</w:t>
        </w:r>
        <w:r w:rsidR="00013986">
          <w:rPr>
            <w:noProof/>
            <w:webHidden/>
          </w:rPr>
          <w:fldChar w:fldCharType="end"/>
        </w:r>
      </w:hyperlink>
    </w:p>
    <w:p w14:paraId="02F1B119" w14:textId="778350F5"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64" w:history="1">
        <w:r w:rsidR="00013986" w:rsidRPr="00C5055B">
          <w:rPr>
            <w:rStyle w:val="Hyperlink"/>
            <w:noProof/>
          </w:rPr>
          <w:t>1.4</w:t>
        </w:r>
        <w:r w:rsidR="00013986">
          <w:rPr>
            <w:rFonts w:eastAsiaTheme="minorEastAsia" w:cstheme="minorBidi"/>
            <w:smallCaps w:val="0"/>
            <w:noProof/>
            <w:sz w:val="22"/>
            <w:szCs w:val="22"/>
            <w:lang w:eastAsia="en-GB" w:bidi="ar-SA"/>
          </w:rPr>
          <w:tab/>
        </w:r>
        <w:r w:rsidR="00013986" w:rsidRPr="00C5055B">
          <w:rPr>
            <w:rStyle w:val="Hyperlink"/>
            <w:noProof/>
          </w:rPr>
          <w:t>International standards</w:t>
        </w:r>
        <w:r w:rsidR="00013986">
          <w:rPr>
            <w:noProof/>
            <w:webHidden/>
          </w:rPr>
          <w:tab/>
        </w:r>
        <w:r w:rsidR="00013986">
          <w:rPr>
            <w:noProof/>
            <w:webHidden/>
          </w:rPr>
          <w:fldChar w:fldCharType="begin"/>
        </w:r>
        <w:r w:rsidR="00013986">
          <w:rPr>
            <w:noProof/>
            <w:webHidden/>
          </w:rPr>
          <w:instrText xml:space="preserve"> PAGEREF _Toc71204364 \h </w:instrText>
        </w:r>
        <w:r w:rsidR="00013986">
          <w:rPr>
            <w:noProof/>
            <w:webHidden/>
          </w:rPr>
        </w:r>
        <w:r w:rsidR="00013986">
          <w:rPr>
            <w:noProof/>
            <w:webHidden/>
          </w:rPr>
          <w:fldChar w:fldCharType="separate"/>
        </w:r>
        <w:r w:rsidR="00013986">
          <w:rPr>
            <w:noProof/>
            <w:webHidden/>
          </w:rPr>
          <w:t>7</w:t>
        </w:r>
        <w:r w:rsidR="00013986">
          <w:rPr>
            <w:noProof/>
            <w:webHidden/>
          </w:rPr>
          <w:fldChar w:fldCharType="end"/>
        </w:r>
      </w:hyperlink>
    </w:p>
    <w:p w14:paraId="0D23AD94" w14:textId="0FB28EA2"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65" w:history="1">
        <w:r w:rsidR="00013986" w:rsidRPr="00C5055B">
          <w:rPr>
            <w:rStyle w:val="Hyperlink"/>
            <w:noProof/>
            <w:u w:color="FFFF00"/>
          </w:rPr>
          <w:t>1.5</w:t>
        </w:r>
        <w:r w:rsidR="00013986">
          <w:rPr>
            <w:rFonts w:eastAsiaTheme="minorEastAsia" w:cstheme="minorBidi"/>
            <w:smallCaps w:val="0"/>
            <w:noProof/>
            <w:sz w:val="22"/>
            <w:szCs w:val="22"/>
            <w:lang w:eastAsia="en-GB" w:bidi="ar-SA"/>
          </w:rPr>
          <w:tab/>
        </w:r>
        <w:r w:rsidR="00013986" w:rsidRPr="00C5055B">
          <w:rPr>
            <w:rStyle w:val="Hyperlink"/>
            <w:noProof/>
            <w:u w:color="FFFF00"/>
          </w:rPr>
          <w:t>Reasons for accepting application</w:t>
        </w:r>
        <w:r w:rsidR="00013986">
          <w:rPr>
            <w:noProof/>
            <w:webHidden/>
          </w:rPr>
          <w:tab/>
        </w:r>
        <w:r w:rsidR="00013986">
          <w:rPr>
            <w:noProof/>
            <w:webHidden/>
          </w:rPr>
          <w:fldChar w:fldCharType="begin"/>
        </w:r>
        <w:r w:rsidR="00013986">
          <w:rPr>
            <w:noProof/>
            <w:webHidden/>
          </w:rPr>
          <w:instrText xml:space="preserve"> PAGEREF _Toc71204365 \h </w:instrText>
        </w:r>
        <w:r w:rsidR="00013986">
          <w:rPr>
            <w:noProof/>
            <w:webHidden/>
          </w:rPr>
        </w:r>
        <w:r w:rsidR="00013986">
          <w:rPr>
            <w:noProof/>
            <w:webHidden/>
          </w:rPr>
          <w:fldChar w:fldCharType="separate"/>
        </w:r>
        <w:r w:rsidR="00013986">
          <w:rPr>
            <w:noProof/>
            <w:webHidden/>
          </w:rPr>
          <w:t>8</w:t>
        </w:r>
        <w:r w:rsidR="00013986">
          <w:rPr>
            <w:noProof/>
            <w:webHidden/>
          </w:rPr>
          <w:fldChar w:fldCharType="end"/>
        </w:r>
      </w:hyperlink>
    </w:p>
    <w:p w14:paraId="2CC6C1AA" w14:textId="3391FF3C"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66" w:history="1">
        <w:r w:rsidR="00013986" w:rsidRPr="00C5055B">
          <w:rPr>
            <w:rStyle w:val="Hyperlink"/>
            <w:noProof/>
          </w:rPr>
          <w:t>1.6</w:t>
        </w:r>
        <w:r w:rsidR="00013986">
          <w:rPr>
            <w:rFonts w:eastAsiaTheme="minorEastAsia" w:cstheme="minorBidi"/>
            <w:smallCaps w:val="0"/>
            <w:noProof/>
            <w:sz w:val="22"/>
            <w:szCs w:val="22"/>
            <w:lang w:eastAsia="en-GB" w:bidi="ar-SA"/>
          </w:rPr>
          <w:tab/>
        </w:r>
        <w:r w:rsidR="00013986" w:rsidRPr="00C5055B">
          <w:rPr>
            <w:rStyle w:val="Hyperlink"/>
            <w:noProof/>
          </w:rPr>
          <w:t>Procedure for assessment</w:t>
        </w:r>
        <w:r w:rsidR="00013986">
          <w:rPr>
            <w:noProof/>
            <w:webHidden/>
          </w:rPr>
          <w:tab/>
        </w:r>
        <w:r w:rsidR="00013986">
          <w:rPr>
            <w:noProof/>
            <w:webHidden/>
          </w:rPr>
          <w:fldChar w:fldCharType="begin"/>
        </w:r>
        <w:r w:rsidR="00013986">
          <w:rPr>
            <w:noProof/>
            <w:webHidden/>
          </w:rPr>
          <w:instrText xml:space="preserve"> PAGEREF _Toc71204366 \h </w:instrText>
        </w:r>
        <w:r w:rsidR="00013986">
          <w:rPr>
            <w:noProof/>
            <w:webHidden/>
          </w:rPr>
        </w:r>
        <w:r w:rsidR="00013986">
          <w:rPr>
            <w:noProof/>
            <w:webHidden/>
          </w:rPr>
          <w:fldChar w:fldCharType="separate"/>
        </w:r>
        <w:r w:rsidR="00013986">
          <w:rPr>
            <w:noProof/>
            <w:webHidden/>
          </w:rPr>
          <w:t>8</w:t>
        </w:r>
        <w:r w:rsidR="00013986">
          <w:rPr>
            <w:noProof/>
            <w:webHidden/>
          </w:rPr>
          <w:fldChar w:fldCharType="end"/>
        </w:r>
      </w:hyperlink>
    </w:p>
    <w:p w14:paraId="60005862" w14:textId="3A43493A"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67" w:history="1">
        <w:r w:rsidR="00013986" w:rsidRPr="00C5055B">
          <w:rPr>
            <w:rStyle w:val="Hyperlink"/>
            <w:noProof/>
          </w:rPr>
          <w:t>1.7</w:t>
        </w:r>
        <w:r w:rsidR="00013986">
          <w:rPr>
            <w:rFonts w:eastAsiaTheme="minorEastAsia" w:cstheme="minorBidi"/>
            <w:smallCaps w:val="0"/>
            <w:noProof/>
            <w:sz w:val="22"/>
            <w:szCs w:val="22"/>
            <w:lang w:eastAsia="en-GB" w:bidi="ar-SA"/>
          </w:rPr>
          <w:tab/>
        </w:r>
        <w:r w:rsidR="00013986" w:rsidRPr="00C5055B">
          <w:rPr>
            <w:rStyle w:val="Hyperlink"/>
            <w:noProof/>
          </w:rPr>
          <w:t>Decision</w:t>
        </w:r>
        <w:r w:rsidR="00013986">
          <w:rPr>
            <w:noProof/>
            <w:webHidden/>
          </w:rPr>
          <w:tab/>
        </w:r>
        <w:r w:rsidR="00013986">
          <w:rPr>
            <w:noProof/>
            <w:webHidden/>
          </w:rPr>
          <w:fldChar w:fldCharType="begin"/>
        </w:r>
        <w:r w:rsidR="00013986">
          <w:rPr>
            <w:noProof/>
            <w:webHidden/>
          </w:rPr>
          <w:instrText xml:space="preserve"> PAGEREF _Toc71204367 \h </w:instrText>
        </w:r>
        <w:r w:rsidR="00013986">
          <w:rPr>
            <w:noProof/>
            <w:webHidden/>
          </w:rPr>
        </w:r>
        <w:r w:rsidR="00013986">
          <w:rPr>
            <w:noProof/>
            <w:webHidden/>
          </w:rPr>
          <w:fldChar w:fldCharType="separate"/>
        </w:r>
        <w:r w:rsidR="00013986">
          <w:rPr>
            <w:noProof/>
            <w:webHidden/>
          </w:rPr>
          <w:t>8</w:t>
        </w:r>
        <w:r w:rsidR="00013986">
          <w:rPr>
            <w:noProof/>
            <w:webHidden/>
          </w:rPr>
          <w:fldChar w:fldCharType="end"/>
        </w:r>
      </w:hyperlink>
    </w:p>
    <w:p w14:paraId="084B9D0E" w14:textId="4B2CA935" w:rsidR="00013986" w:rsidRDefault="00DC604B">
      <w:pPr>
        <w:pStyle w:val="TOC1"/>
        <w:tabs>
          <w:tab w:val="left" w:pos="440"/>
          <w:tab w:val="right" w:leader="dot" w:pos="9060"/>
        </w:tabs>
        <w:rPr>
          <w:rFonts w:eastAsiaTheme="minorEastAsia" w:cstheme="minorBidi"/>
          <w:b w:val="0"/>
          <w:bCs w:val="0"/>
          <w:caps w:val="0"/>
          <w:noProof/>
          <w:sz w:val="22"/>
          <w:szCs w:val="22"/>
          <w:lang w:eastAsia="en-GB" w:bidi="ar-SA"/>
        </w:rPr>
      </w:pPr>
      <w:hyperlink w:anchor="_Toc71204368" w:history="1">
        <w:r w:rsidR="00013986" w:rsidRPr="00C5055B">
          <w:rPr>
            <w:rStyle w:val="Hyperlink"/>
            <w:noProof/>
          </w:rPr>
          <w:t>2</w:t>
        </w:r>
        <w:r w:rsidR="00013986">
          <w:rPr>
            <w:rFonts w:eastAsiaTheme="minorEastAsia" w:cstheme="minorBidi"/>
            <w:b w:val="0"/>
            <w:bCs w:val="0"/>
            <w:caps w:val="0"/>
            <w:noProof/>
            <w:sz w:val="22"/>
            <w:szCs w:val="22"/>
            <w:lang w:eastAsia="en-GB" w:bidi="ar-SA"/>
          </w:rPr>
          <w:tab/>
        </w:r>
        <w:r w:rsidR="00013986" w:rsidRPr="00C5055B">
          <w:rPr>
            <w:rStyle w:val="Hyperlink"/>
            <w:noProof/>
          </w:rPr>
          <w:t xml:space="preserve">Summary </w:t>
        </w:r>
        <w:r w:rsidR="00013986" w:rsidRPr="00C5055B">
          <w:rPr>
            <w:rStyle w:val="Hyperlink"/>
            <w:noProof/>
            <w:u w:color="FFFF00"/>
          </w:rPr>
          <w:t>of</w:t>
        </w:r>
        <w:r w:rsidR="00013986" w:rsidRPr="00C5055B">
          <w:rPr>
            <w:rStyle w:val="Hyperlink"/>
            <w:noProof/>
          </w:rPr>
          <w:t xml:space="preserve"> the findings</w:t>
        </w:r>
        <w:r w:rsidR="00013986">
          <w:rPr>
            <w:noProof/>
            <w:webHidden/>
          </w:rPr>
          <w:tab/>
        </w:r>
        <w:r w:rsidR="00013986">
          <w:rPr>
            <w:noProof/>
            <w:webHidden/>
          </w:rPr>
          <w:fldChar w:fldCharType="begin"/>
        </w:r>
        <w:r w:rsidR="00013986">
          <w:rPr>
            <w:noProof/>
            <w:webHidden/>
          </w:rPr>
          <w:instrText xml:space="preserve"> PAGEREF _Toc71204368 \h </w:instrText>
        </w:r>
        <w:r w:rsidR="00013986">
          <w:rPr>
            <w:noProof/>
            <w:webHidden/>
          </w:rPr>
        </w:r>
        <w:r w:rsidR="00013986">
          <w:rPr>
            <w:noProof/>
            <w:webHidden/>
          </w:rPr>
          <w:fldChar w:fldCharType="separate"/>
        </w:r>
        <w:r w:rsidR="00013986">
          <w:rPr>
            <w:noProof/>
            <w:webHidden/>
          </w:rPr>
          <w:t>8</w:t>
        </w:r>
        <w:r w:rsidR="00013986">
          <w:rPr>
            <w:noProof/>
            <w:webHidden/>
          </w:rPr>
          <w:fldChar w:fldCharType="end"/>
        </w:r>
      </w:hyperlink>
    </w:p>
    <w:p w14:paraId="57D4DE07" w14:textId="1C8E1AA1"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69" w:history="1">
        <w:r w:rsidR="00013986" w:rsidRPr="00C5055B">
          <w:rPr>
            <w:rStyle w:val="Hyperlink"/>
            <w:noProof/>
          </w:rPr>
          <w:t>2.1</w:t>
        </w:r>
        <w:r w:rsidR="00013986">
          <w:rPr>
            <w:rFonts w:eastAsiaTheme="minorEastAsia" w:cstheme="minorBidi"/>
            <w:smallCaps w:val="0"/>
            <w:noProof/>
            <w:sz w:val="22"/>
            <w:szCs w:val="22"/>
            <w:lang w:eastAsia="en-GB" w:bidi="ar-SA"/>
          </w:rPr>
          <w:tab/>
        </w:r>
        <w:r w:rsidR="00013986" w:rsidRPr="00C5055B">
          <w:rPr>
            <w:rStyle w:val="Hyperlink"/>
            <w:noProof/>
          </w:rPr>
          <w:t>Submissions received</w:t>
        </w:r>
        <w:r w:rsidR="00013986">
          <w:rPr>
            <w:noProof/>
            <w:webHidden/>
          </w:rPr>
          <w:tab/>
        </w:r>
        <w:r w:rsidR="00013986">
          <w:rPr>
            <w:noProof/>
            <w:webHidden/>
          </w:rPr>
          <w:fldChar w:fldCharType="begin"/>
        </w:r>
        <w:r w:rsidR="00013986">
          <w:rPr>
            <w:noProof/>
            <w:webHidden/>
          </w:rPr>
          <w:instrText xml:space="preserve"> PAGEREF _Toc71204369 \h </w:instrText>
        </w:r>
        <w:r w:rsidR="00013986">
          <w:rPr>
            <w:noProof/>
            <w:webHidden/>
          </w:rPr>
        </w:r>
        <w:r w:rsidR="00013986">
          <w:rPr>
            <w:noProof/>
            <w:webHidden/>
          </w:rPr>
          <w:fldChar w:fldCharType="separate"/>
        </w:r>
        <w:r w:rsidR="00013986">
          <w:rPr>
            <w:noProof/>
            <w:webHidden/>
          </w:rPr>
          <w:t>8</w:t>
        </w:r>
        <w:r w:rsidR="00013986">
          <w:rPr>
            <w:noProof/>
            <w:webHidden/>
          </w:rPr>
          <w:fldChar w:fldCharType="end"/>
        </w:r>
      </w:hyperlink>
    </w:p>
    <w:p w14:paraId="1C56985F" w14:textId="5338CA9B"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70" w:history="1">
        <w:r w:rsidR="00013986" w:rsidRPr="00C5055B">
          <w:rPr>
            <w:rStyle w:val="Hyperlink"/>
            <w:noProof/>
          </w:rPr>
          <w:t>2.2</w:t>
        </w:r>
        <w:r w:rsidR="00013986">
          <w:rPr>
            <w:rFonts w:eastAsiaTheme="minorEastAsia" w:cstheme="minorBidi"/>
            <w:smallCaps w:val="0"/>
            <w:noProof/>
            <w:sz w:val="22"/>
            <w:szCs w:val="22"/>
            <w:lang w:eastAsia="en-GB" w:bidi="ar-SA"/>
          </w:rPr>
          <w:tab/>
        </w:r>
        <w:r w:rsidR="00013986" w:rsidRPr="00C5055B">
          <w:rPr>
            <w:rStyle w:val="Hyperlink"/>
            <w:noProof/>
          </w:rPr>
          <w:t>Summary of issues raised in submissions</w:t>
        </w:r>
        <w:r w:rsidR="00013986">
          <w:rPr>
            <w:noProof/>
            <w:webHidden/>
          </w:rPr>
          <w:tab/>
        </w:r>
        <w:r w:rsidR="00013986">
          <w:rPr>
            <w:noProof/>
            <w:webHidden/>
          </w:rPr>
          <w:fldChar w:fldCharType="begin"/>
        </w:r>
        <w:r w:rsidR="00013986">
          <w:rPr>
            <w:noProof/>
            <w:webHidden/>
          </w:rPr>
          <w:instrText xml:space="preserve"> PAGEREF _Toc71204370 \h </w:instrText>
        </w:r>
        <w:r w:rsidR="00013986">
          <w:rPr>
            <w:noProof/>
            <w:webHidden/>
          </w:rPr>
        </w:r>
        <w:r w:rsidR="00013986">
          <w:rPr>
            <w:noProof/>
            <w:webHidden/>
          </w:rPr>
          <w:fldChar w:fldCharType="separate"/>
        </w:r>
        <w:r w:rsidR="00013986">
          <w:rPr>
            <w:noProof/>
            <w:webHidden/>
          </w:rPr>
          <w:t>9</w:t>
        </w:r>
        <w:r w:rsidR="00013986">
          <w:rPr>
            <w:noProof/>
            <w:webHidden/>
          </w:rPr>
          <w:fldChar w:fldCharType="end"/>
        </w:r>
      </w:hyperlink>
    </w:p>
    <w:p w14:paraId="41204895" w14:textId="662FA556" w:rsidR="00013986" w:rsidRDefault="00DC604B">
      <w:pPr>
        <w:pStyle w:val="TOC1"/>
        <w:tabs>
          <w:tab w:val="left" w:pos="440"/>
          <w:tab w:val="right" w:leader="dot" w:pos="9060"/>
        </w:tabs>
        <w:rPr>
          <w:rFonts w:eastAsiaTheme="minorEastAsia" w:cstheme="minorBidi"/>
          <w:b w:val="0"/>
          <w:bCs w:val="0"/>
          <w:caps w:val="0"/>
          <w:noProof/>
          <w:sz w:val="22"/>
          <w:szCs w:val="22"/>
          <w:lang w:eastAsia="en-GB" w:bidi="ar-SA"/>
        </w:rPr>
      </w:pPr>
      <w:hyperlink w:anchor="_Toc71204371" w:history="1">
        <w:r w:rsidR="00013986" w:rsidRPr="00C5055B">
          <w:rPr>
            <w:rStyle w:val="Hyperlink"/>
            <w:noProof/>
          </w:rPr>
          <w:t>3</w:t>
        </w:r>
        <w:r w:rsidR="00013986">
          <w:rPr>
            <w:rFonts w:eastAsiaTheme="minorEastAsia" w:cstheme="minorBidi"/>
            <w:b w:val="0"/>
            <w:bCs w:val="0"/>
            <w:caps w:val="0"/>
            <w:noProof/>
            <w:sz w:val="22"/>
            <w:szCs w:val="22"/>
            <w:lang w:eastAsia="en-GB" w:bidi="ar-SA"/>
          </w:rPr>
          <w:tab/>
        </w:r>
        <w:r w:rsidR="00013986" w:rsidRPr="00C5055B">
          <w:rPr>
            <w:rStyle w:val="Hyperlink"/>
            <w:noProof/>
          </w:rPr>
          <w:t>Risk assessment</w:t>
        </w:r>
        <w:r w:rsidR="00013986">
          <w:rPr>
            <w:noProof/>
            <w:webHidden/>
          </w:rPr>
          <w:tab/>
        </w:r>
        <w:r w:rsidR="00013986">
          <w:rPr>
            <w:noProof/>
            <w:webHidden/>
          </w:rPr>
          <w:fldChar w:fldCharType="begin"/>
        </w:r>
        <w:r w:rsidR="00013986">
          <w:rPr>
            <w:noProof/>
            <w:webHidden/>
          </w:rPr>
          <w:instrText xml:space="preserve"> PAGEREF _Toc71204371 \h </w:instrText>
        </w:r>
        <w:r w:rsidR="00013986">
          <w:rPr>
            <w:noProof/>
            <w:webHidden/>
          </w:rPr>
        </w:r>
        <w:r w:rsidR="00013986">
          <w:rPr>
            <w:noProof/>
            <w:webHidden/>
          </w:rPr>
          <w:fldChar w:fldCharType="separate"/>
        </w:r>
        <w:r w:rsidR="00013986">
          <w:rPr>
            <w:noProof/>
            <w:webHidden/>
          </w:rPr>
          <w:t>27</w:t>
        </w:r>
        <w:r w:rsidR="00013986">
          <w:rPr>
            <w:noProof/>
            <w:webHidden/>
          </w:rPr>
          <w:fldChar w:fldCharType="end"/>
        </w:r>
      </w:hyperlink>
    </w:p>
    <w:p w14:paraId="0E8D4E54" w14:textId="46227523"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72" w:history="1">
        <w:r w:rsidR="00013986" w:rsidRPr="00C5055B">
          <w:rPr>
            <w:rStyle w:val="Hyperlink"/>
            <w:noProof/>
          </w:rPr>
          <w:t>3.1</w:t>
        </w:r>
        <w:r w:rsidR="00013986">
          <w:rPr>
            <w:rFonts w:eastAsiaTheme="minorEastAsia" w:cstheme="minorBidi"/>
            <w:smallCaps w:val="0"/>
            <w:noProof/>
            <w:sz w:val="22"/>
            <w:szCs w:val="22"/>
            <w:lang w:eastAsia="en-GB" w:bidi="ar-SA"/>
          </w:rPr>
          <w:tab/>
        </w:r>
        <w:r w:rsidR="00013986" w:rsidRPr="00C5055B">
          <w:rPr>
            <w:rStyle w:val="Hyperlink"/>
            <w:noProof/>
          </w:rPr>
          <w:t>Technological need and efficacy of irradiation</w:t>
        </w:r>
        <w:r w:rsidR="00013986">
          <w:rPr>
            <w:noProof/>
            <w:webHidden/>
          </w:rPr>
          <w:tab/>
        </w:r>
        <w:r w:rsidR="00013986">
          <w:rPr>
            <w:noProof/>
            <w:webHidden/>
          </w:rPr>
          <w:fldChar w:fldCharType="begin"/>
        </w:r>
        <w:r w:rsidR="00013986">
          <w:rPr>
            <w:noProof/>
            <w:webHidden/>
          </w:rPr>
          <w:instrText xml:space="preserve"> PAGEREF _Toc71204372 \h </w:instrText>
        </w:r>
        <w:r w:rsidR="00013986">
          <w:rPr>
            <w:noProof/>
            <w:webHidden/>
          </w:rPr>
        </w:r>
        <w:r w:rsidR="00013986">
          <w:rPr>
            <w:noProof/>
            <w:webHidden/>
          </w:rPr>
          <w:fldChar w:fldCharType="separate"/>
        </w:r>
        <w:r w:rsidR="00013986">
          <w:rPr>
            <w:noProof/>
            <w:webHidden/>
          </w:rPr>
          <w:t>27</w:t>
        </w:r>
        <w:r w:rsidR="00013986">
          <w:rPr>
            <w:noProof/>
            <w:webHidden/>
          </w:rPr>
          <w:fldChar w:fldCharType="end"/>
        </w:r>
      </w:hyperlink>
    </w:p>
    <w:p w14:paraId="5E02A9F5" w14:textId="453C6CB0" w:rsidR="00013986" w:rsidRDefault="00DC604B">
      <w:pPr>
        <w:pStyle w:val="TOC3"/>
        <w:tabs>
          <w:tab w:val="left" w:pos="1100"/>
          <w:tab w:val="right" w:leader="dot" w:pos="9060"/>
        </w:tabs>
        <w:rPr>
          <w:rFonts w:eastAsiaTheme="minorEastAsia" w:cstheme="minorBidi"/>
          <w:i w:val="0"/>
          <w:iCs w:val="0"/>
          <w:noProof/>
          <w:sz w:val="22"/>
          <w:szCs w:val="22"/>
          <w:lang w:eastAsia="en-GB" w:bidi="ar-SA"/>
        </w:rPr>
      </w:pPr>
      <w:hyperlink w:anchor="_Toc71204373" w:history="1">
        <w:r w:rsidR="00013986" w:rsidRPr="00C5055B">
          <w:rPr>
            <w:rStyle w:val="Hyperlink"/>
            <w:noProof/>
          </w:rPr>
          <w:t>3.1.1</w:t>
        </w:r>
        <w:r w:rsidR="00013986">
          <w:rPr>
            <w:rFonts w:eastAsiaTheme="minorEastAsia" w:cstheme="minorBidi"/>
            <w:i w:val="0"/>
            <w:iCs w:val="0"/>
            <w:noProof/>
            <w:sz w:val="22"/>
            <w:szCs w:val="22"/>
            <w:lang w:eastAsia="en-GB" w:bidi="ar-SA"/>
          </w:rPr>
          <w:tab/>
        </w:r>
        <w:r w:rsidR="00013986" w:rsidRPr="00C5055B">
          <w:rPr>
            <w:rStyle w:val="Hyperlink"/>
            <w:noProof/>
          </w:rPr>
          <w:t>Justification for use of irradiation as a phytosanitary measure</w:t>
        </w:r>
        <w:r w:rsidR="00013986">
          <w:rPr>
            <w:noProof/>
            <w:webHidden/>
          </w:rPr>
          <w:tab/>
        </w:r>
        <w:r w:rsidR="00013986">
          <w:rPr>
            <w:noProof/>
            <w:webHidden/>
          </w:rPr>
          <w:fldChar w:fldCharType="begin"/>
        </w:r>
        <w:r w:rsidR="00013986">
          <w:rPr>
            <w:noProof/>
            <w:webHidden/>
          </w:rPr>
          <w:instrText xml:space="preserve"> PAGEREF _Toc71204373 \h </w:instrText>
        </w:r>
        <w:r w:rsidR="00013986">
          <w:rPr>
            <w:noProof/>
            <w:webHidden/>
          </w:rPr>
        </w:r>
        <w:r w:rsidR="00013986">
          <w:rPr>
            <w:noProof/>
            <w:webHidden/>
          </w:rPr>
          <w:fldChar w:fldCharType="separate"/>
        </w:r>
        <w:r w:rsidR="00013986">
          <w:rPr>
            <w:noProof/>
            <w:webHidden/>
          </w:rPr>
          <w:t>27</w:t>
        </w:r>
        <w:r w:rsidR="00013986">
          <w:rPr>
            <w:noProof/>
            <w:webHidden/>
          </w:rPr>
          <w:fldChar w:fldCharType="end"/>
        </w:r>
      </w:hyperlink>
    </w:p>
    <w:p w14:paraId="273EF3BF" w14:textId="700DE7E3" w:rsidR="00013986" w:rsidRDefault="00DC604B">
      <w:pPr>
        <w:pStyle w:val="TOC3"/>
        <w:tabs>
          <w:tab w:val="left" w:pos="1100"/>
          <w:tab w:val="right" w:leader="dot" w:pos="9060"/>
        </w:tabs>
        <w:rPr>
          <w:rFonts w:eastAsiaTheme="minorEastAsia" w:cstheme="minorBidi"/>
          <w:i w:val="0"/>
          <w:iCs w:val="0"/>
          <w:noProof/>
          <w:sz w:val="22"/>
          <w:szCs w:val="22"/>
          <w:lang w:eastAsia="en-GB" w:bidi="ar-SA"/>
        </w:rPr>
      </w:pPr>
      <w:hyperlink w:anchor="_Toc71204374" w:history="1">
        <w:r w:rsidR="00013986" w:rsidRPr="00C5055B">
          <w:rPr>
            <w:rStyle w:val="Hyperlink"/>
            <w:noProof/>
          </w:rPr>
          <w:t>3.1.2</w:t>
        </w:r>
        <w:r w:rsidR="00013986">
          <w:rPr>
            <w:rFonts w:eastAsiaTheme="minorEastAsia" w:cstheme="minorBidi"/>
            <w:i w:val="0"/>
            <w:iCs w:val="0"/>
            <w:noProof/>
            <w:sz w:val="22"/>
            <w:szCs w:val="22"/>
            <w:lang w:eastAsia="en-GB" w:bidi="ar-SA"/>
          </w:rPr>
          <w:tab/>
        </w:r>
        <w:r w:rsidR="00013986" w:rsidRPr="00C5055B">
          <w:rPr>
            <w:rStyle w:val="Hyperlink"/>
            <w:noProof/>
          </w:rPr>
          <w:t>Worldwide permissions for food irradiation</w:t>
        </w:r>
        <w:r w:rsidR="00013986">
          <w:rPr>
            <w:noProof/>
            <w:webHidden/>
          </w:rPr>
          <w:tab/>
        </w:r>
        <w:r w:rsidR="00013986">
          <w:rPr>
            <w:noProof/>
            <w:webHidden/>
          </w:rPr>
          <w:fldChar w:fldCharType="begin"/>
        </w:r>
        <w:r w:rsidR="00013986">
          <w:rPr>
            <w:noProof/>
            <w:webHidden/>
          </w:rPr>
          <w:instrText xml:space="preserve"> PAGEREF _Toc71204374 \h </w:instrText>
        </w:r>
        <w:r w:rsidR="00013986">
          <w:rPr>
            <w:noProof/>
            <w:webHidden/>
          </w:rPr>
        </w:r>
        <w:r w:rsidR="00013986">
          <w:rPr>
            <w:noProof/>
            <w:webHidden/>
          </w:rPr>
          <w:fldChar w:fldCharType="separate"/>
        </w:r>
        <w:r w:rsidR="00013986">
          <w:rPr>
            <w:noProof/>
            <w:webHidden/>
          </w:rPr>
          <w:t>28</w:t>
        </w:r>
        <w:r w:rsidR="00013986">
          <w:rPr>
            <w:noProof/>
            <w:webHidden/>
          </w:rPr>
          <w:fldChar w:fldCharType="end"/>
        </w:r>
      </w:hyperlink>
    </w:p>
    <w:p w14:paraId="3519B4C3" w14:textId="2E1EAE44" w:rsidR="00013986" w:rsidRDefault="00DC604B">
      <w:pPr>
        <w:pStyle w:val="TOC3"/>
        <w:tabs>
          <w:tab w:val="left" w:pos="1100"/>
          <w:tab w:val="right" w:leader="dot" w:pos="9060"/>
        </w:tabs>
        <w:rPr>
          <w:rFonts w:eastAsiaTheme="minorEastAsia" w:cstheme="minorBidi"/>
          <w:i w:val="0"/>
          <w:iCs w:val="0"/>
          <w:noProof/>
          <w:sz w:val="22"/>
          <w:szCs w:val="22"/>
          <w:lang w:eastAsia="en-GB" w:bidi="ar-SA"/>
        </w:rPr>
      </w:pPr>
      <w:hyperlink w:anchor="_Toc71204375" w:history="1">
        <w:r w:rsidR="00013986" w:rsidRPr="00C5055B">
          <w:rPr>
            <w:rStyle w:val="Hyperlink"/>
            <w:noProof/>
          </w:rPr>
          <w:t>3.1.3</w:t>
        </w:r>
        <w:r w:rsidR="00013986">
          <w:rPr>
            <w:rFonts w:eastAsiaTheme="minorEastAsia" w:cstheme="minorBidi"/>
            <w:i w:val="0"/>
            <w:iCs w:val="0"/>
            <w:noProof/>
            <w:sz w:val="22"/>
            <w:szCs w:val="22"/>
            <w:lang w:eastAsia="en-GB" w:bidi="ar-SA"/>
          </w:rPr>
          <w:tab/>
        </w:r>
        <w:r w:rsidR="00013986" w:rsidRPr="00C5055B">
          <w:rPr>
            <w:rStyle w:val="Hyperlink"/>
            <w:noProof/>
          </w:rPr>
          <w:t>Summary</w:t>
        </w:r>
        <w:r w:rsidR="00013986">
          <w:rPr>
            <w:noProof/>
            <w:webHidden/>
          </w:rPr>
          <w:tab/>
        </w:r>
        <w:r w:rsidR="00013986">
          <w:rPr>
            <w:noProof/>
            <w:webHidden/>
          </w:rPr>
          <w:fldChar w:fldCharType="begin"/>
        </w:r>
        <w:r w:rsidR="00013986">
          <w:rPr>
            <w:noProof/>
            <w:webHidden/>
          </w:rPr>
          <w:instrText xml:space="preserve"> PAGEREF _Toc71204375 \h </w:instrText>
        </w:r>
        <w:r w:rsidR="00013986">
          <w:rPr>
            <w:noProof/>
            <w:webHidden/>
          </w:rPr>
        </w:r>
        <w:r w:rsidR="00013986">
          <w:rPr>
            <w:noProof/>
            <w:webHidden/>
          </w:rPr>
          <w:fldChar w:fldCharType="separate"/>
        </w:r>
        <w:r w:rsidR="00013986">
          <w:rPr>
            <w:noProof/>
            <w:webHidden/>
          </w:rPr>
          <w:t>28</w:t>
        </w:r>
        <w:r w:rsidR="00013986">
          <w:rPr>
            <w:noProof/>
            <w:webHidden/>
          </w:rPr>
          <w:fldChar w:fldCharType="end"/>
        </w:r>
      </w:hyperlink>
    </w:p>
    <w:p w14:paraId="36387688" w14:textId="6B6A3239"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76" w:history="1">
        <w:r w:rsidR="00013986" w:rsidRPr="00C5055B">
          <w:rPr>
            <w:rStyle w:val="Hyperlink"/>
            <w:noProof/>
          </w:rPr>
          <w:t>3.2</w:t>
        </w:r>
        <w:r w:rsidR="00013986">
          <w:rPr>
            <w:rFonts w:eastAsiaTheme="minorEastAsia" w:cstheme="minorBidi"/>
            <w:smallCaps w:val="0"/>
            <w:noProof/>
            <w:sz w:val="22"/>
            <w:szCs w:val="22"/>
            <w:lang w:eastAsia="en-GB" w:bidi="ar-SA"/>
          </w:rPr>
          <w:tab/>
        </w:r>
        <w:r w:rsidR="00013986" w:rsidRPr="00C5055B">
          <w:rPr>
            <w:rStyle w:val="Hyperlink"/>
            <w:noProof/>
          </w:rPr>
          <w:t>Safety and nutritional content of irradiated foods</w:t>
        </w:r>
        <w:r w:rsidR="00013986">
          <w:rPr>
            <w:noProof/>
            <w:webHidden/>
          </w:rPr>
          <w:tab/>
        </w:r>
        <w:r w:rsidR="00013986">
          <w:rPr>
            <w:noProof/>
            <w:webHidden/>
          </w:rPr>
          <w:fldChar w:fldCharType="begin"/>
        </w:r>
        <w:r w:rsidR="00013986">
          <w:rPr>
            <w:noProof/>
            <w:webHidden/>
          </w:rPr>
          <w:instrText xml:space="preserve"> PAGEREF _Toc71204376 \h </w:instrText>
        </w:r>
        <w:r w:rsidR="00013986">
          <w:rPr>
            <w:noProof/>
            <w:webHidden/>
          </w:rPr>
        </w:r>
        <w:r w:rsidR="00013986">
          <w:rPr>
            <w:noProof/>
            <w:webHidden/>
          </w:rPr>
          <w:fldChar w:fldCharType="separate"/>
        </w:r>
        <w:r w:rsidR="00013986">
          <w:rPr>
            <w:noProof/>
            <w:webHidden/>
          </w:rPr>
          <w:t>29</w:t>
        </w:r>
        <w:r w:rsidR="00013986">
          <w:rPr>
            <w:noProof/>
            <w:webHidden/>
          </w:rPr>
          <w:fldChar w:fldCharType="end"/>
        </w:r>
      </w:hyperlink>
    </w:p>
    <w:p w14:paraId="2F280325" w14:textId="27539D27" w:rsidR="00013986" w:rsidRDefault="00DC604B">
      <w:pPr>
        <w:pStyle w:val="TOC1"/>
        <w:tabs>
          <w:tab w:val="left" w:pos="440"/>
          <w:tab w:val="right" w:leader="dot" w:pos="9060"/>
        </w:tabs>
        <w:rPr>
          <w:rFonts w:eastAsiaTheme="minorEastAsia" w:cstheme="minorBidi"/>
          <w:b w:val="0"/>
          <w:bCs w:val="0"/>
          <w:caps w:val="0"/>
          <w:noProof/>
          <w:sz w:val="22"/>
          <w:szCs w:val="22"/>
          <w:lang w:eastAsia="en-GB" w:bidi="ar-SA"/>
        </w:rPr>
      </w:pPr>
      <w:hyperlink w:anchor="_Toc71204377" w:history="1">
        <w:r w:rsidR="00013986" w:rsidRPr="00C5055B">
          <w:rPr>
            <w:rStyle w:val="Hyperlink"/>
            <w:noProof/>
          </w:rPr>
          <w:t>4</w:t>
        </w:r>
        <w:r w:rsidR="00013986">
          <w:rPr>
            <w:rFonts w:eastAsiaTheme="minorEastAsia" w:cstheme="minorBidi"/>
            <w:b w:val="0"/>
            <w:bCs w:val="0"/>
            <w:caps w:val="0"/>
            <w:noProof/>
            <w:sz w:val="22"/>
            <w:szCs w:val="22"/>
            <w:lang w:eastAsia="en-GB" w:bidi="ar-SA"/>
          </w:rPr>
          <w:tab/>
        </w:r>
        <w:r w:rsidR="00013986" w:rsidRPr="00C5055B">
          <w:rPr>
            <w:rStyle w:val="Hyperlink"/>
            <w:noProof/>
          </w:rPr>
          <w:t>Risk management</w:t>
        </w:r>
        <w:r w:rsidR="00013986">
          <w:rPr>
            <w:noProof/>
            <w:webHidden/>
          </w:rPr>
          <w:tab/>
        </w:r>
        <w:r w:rsidR="00013986">
          <w:rPr>
            <w:noProof/>
            <w:webHidden/>
          </w:rPr>
          <w:fldChar w:fldCharType="begin"/>
        </w:r>
        <w:r w:rsidR="00013986">
          <w:rPr>
            <w:noProof/>
            <w:webHidden/>
          </w:rPr>
          <w:instrText xml:space="preserve"> PAGEREF _Toc71204377 \h </w:instrText>
        </w:r>
        <w:r w:rsidR="00013986">
          <w:rPr>
            <w:noProof/>
            <w:webHidden/>
          </w:rPr>
        </w:r>
        <w:r w:rsidR="00013986">
          <w:rPr>
            <w:noProof/>
            <w:webHidden/>
          </w:rPr>
          <w:fldChar w:fldCharType="separate"/>
        </w:r>
        <w:r w:rsidR="00013986">
          <w:rPr>
            <w:noProof/>
            <w:webHidden/>
          </w:rPr>
          <w:t>29</w:t>
        </w:r>
        <w:r w:rsidR="00013986">
          <w:rPr>
            <w:noProof/>
            <w:webHidden/>
          </w:rPr>
          <w:fldChar w:fldCharType="end"/>
        </w:r>
      </w:hyperlink>
    </w:p>
    <w:p w14:paraId="2D0D5DB6" w14:textId="574C5239"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78" w:history="1">
        <w:r w:rsidR="00013986" w:rsidRPr="00C5055B">
          <w:rPr>
            <w:rStyle w:val="Hyperlink"/>
            <w:noProof/>
          </w:rPr>
          <w:t>4.1</w:t>
        </w:r>
        <w:r w:rsidR="00013986">
          <w:rPr>
            <w:rFonts w:eastAsiaTheme="minorEastAsia" w:cstheme="minorBidi"/>
            <w:smallCaps w:val="0"/>
            <w:noProof/>
            <w:sz w:val="22"/>
            <w:szCs w:val="22"/>
            <w:lang w:eastAsia="en-GB" w:bidi="ar-SA"/>
          </w:rPr>
          <w:tab/>
        </w:r>
        <w:r w:rsidR="00013986" w:rsidRPr="00C5055B">
          <w:rPr>
            <w:rStyle w:val="Hyperlink"/>
            <w:noProof/>
          </w:rPr>
          <w:t>Labelling of irradiated food</w:t>
        </w:r>
        <w:r w:rsidR="00013986">
          <w:rPr>
            <w:noProof/>
            <w:webHidden/>
          </w:rPr>
          <w:tab/>
        </w:r>
        <w:r w:rsidR="00013986">
          <w:rPr>
            <w:noProof/>
            <w:webHidden/>
          </w:rPr>
          <w:fldChar w:fldCharType="begin"/>
        </w:r>
        <w:r w:rsidR="00013986">
          <w:rPr>
            <w:noProof/>
            <w:webHidden/>
          </w:rPr>
          <w:instrText xml:space="preserve"> PAGEREF _Toc71204378 \h </w:instrText>
        </w:r>
        <w:r w:rsidR="00013986">
          <w:rPr>
            <w:noProof/>
            <w:webHidden/>
          </w:rPr>
        </w:r>
        <w:r w:rsidR="00013986">
          <w:rPr>
            <w:noProof/>
            <w:webHidden/>
          </w:rPr>
          <w:fldChar w:fldCharType="separate"/>
        </w:r>
        <w:r w:rsidR="00013986">
          <w:rPr>
            <w:noProof/>
            <w:webHidden/>
          </w:rPr>
          <w:t>31</w:t>
        </w:r>
        <w:r w:rsidR="00013986">
          <w:rPr>
            <w:noProof/>
            <w:webHidden/>
          </w:rPr>
          <w:fldChar w:fldCharType="end"/>
        </w:r>
      </w:hyperlink>
    </w:p>
    <w:p w14:paraId="74D0DC97" w14:textId="77521D22"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79" w:history="1">
        <w:r w:rsidR="00013986" w:rsidRPr="00C5055B">
          <w:rPr>
            <w:rStyle w:val="Hyperlink"/>
            <w:noProof/>
          </w:rPr>
          <w:t>4.2</w:t>
        </w:r>
        <w:r w:rsidR="00013986">
          <w:rPr>
            <w:rFonts w:eastAsiaTheme="minorEastAsia" w:cstheme="minorBidi"/>
            <w:smallCaps w:val="0"/>
            <w:noProof/>
            <w:sz w:val="22"/>
            <w:szCs w:val="22"/>
            <w:lang w:eastAsia="en-GB" w:bidi="ar-SA"/>
          </w:rPr>
          <w:tab/>
        </w:r>
        <w:r w:rsidR="00013986" w:rsidRPr="00C5055B">
          <w:rPr>
            <w:rStyle w:val="Hyperlink"/>
            <w:noProof/>
          </w:rPr>
          <w:t>Risk management conclusion</w:t>
        </w:r>
        <w:r w:rsidR="00013986">
          <w:rPr>
            <w:noProof/>
            <w:webHidden/>
          </w:rPr>
          <w:tab/>
        </w:r>
        <w:r w:rsidR="00013986">
          <w:rPr>
            <w:noProof/>
            <w:webHidden/>
          </w:rPr>
          <w:fldChar w:fldCharType="begin"/>
        </w:r>
        <w:r w:rsidR="00013986">
          <w:rPr>
            <w:noProof/>
            <w:webHidden/>
          </w:rPr>
          <w:instrText xml:space="preserve"> PAGEREF _Toc71204379 \h </w:instrText>
        </w:r>
        <w:r w:rsidR="00013986">
          <w:rPr>
            <w:noProof/>
            <w:webHidden/>
          </w:rPr>
        </w:r>
        <w:r w:rsidR="00013986">
          <w:rPr>
            <w:noProof/>
            <w:webHidden/>
          </w:rPr>
          <w:fldChar w:fldCharType="separate"/>
        </w:r>
        <w:r w:rsidR="00013986">
          <w:rPr>
            <w:noProof/>
            <w:webHidden/>
          </w:rPr>
          <w:t>32</w:t>
        </w:r>
        <w:r w:rsidR="00013986">
          <w:rPr>
            <w:noProof/>
            <w:webHidden/>
          </w:rPr>
          <w:fldChar w:fldCharType="end"/>
        </w:r>
      </w:hyperlink>
    </w:p>
    <w:p w14:paraId="0BAB8605" w14:textId="6087BBF7" w:rsidR="00013986" w:rsidRDefault="00DC604B">
      <w:pPr>
        <w:pStyle w:val="TOC1"/>
        <w:tabs>
          <w:tab w:val="left" w:pos="440"/>
          <w:tab w:val="right" w:leader="dot" w:pos="9060"/>
        </w:tabs>
        <w:rPr>
          <w:rFonts w:eastAsiaTheme="minorEastAsia" w:cstheme="minorBidi"/>
          <w:b w:val="0"/>
          <w:bCs w:val="0"/>
          <w:caps w:val="0"/>
          <w:noProof/>
          <w:sz w:val="22"/>
          <w:szCs w:val="22"/>
          <w:lang w:eastAsia="en-GB" w:bidi="ar-SA"/>
        </w:rPr>
      </w:pPr>
      <w:hyperlink w:anchor="_Toc71204380" w:history="1">
        <w:r w:rsidR="00013986" w:rsidRPr="00C5055B">
          <w:rPr>
            <w:rStyle w:val="Hyperlink"/>
            <w:noProof/>
          </w:rPr>
          <w:t>5</w:t>
        </w:r>
        <w:r w:rsidR="00013986">
          <w:rPr>
            <w:rFonts w:eastAsiaTheme="minorEastAsia" w:cstheme="minorBidi"/>
            <w:b w:val="0"/>
            <w:bCs w:val="0"/>
            <w:caps w:val="0"/>
            <w:noProof/>
            <w:sz w:val="22"/>
            <w:szCs w:val="22"/>
            <w:lang w:eastAsia="en-GB" w:bidi="ar-SA"/>
          </w:rPr>
          <w:tab/>
        </w:r>
        <w:r w:rsidR="00013986" w:rsidRPr="00C5055B">
          <w:rPr>
            <w:rStyle w:val="Hyperlink"/>
            <w:noProof/>
          </w:rPr>
          <w:t>Risk communication</w:t>
        </w:r>
        <w:r w:rsidR="00013986">
          <w:rPr>
            <w:noProof/>
            <w:webHidden/>
          </w:rPr>
          <w:tab/>
        </w:r>
        <w:r w:rsidR="00013986">
          <w:rPr>
            <w:noProof/>
            <w:webHidden/>
          </w:rPr>
          <w:fldChar w:fldCharType="begin"/>
        </w:r>
        <w:r w:rsidR="00013986">
          <w:rPr>
            <w:noProof/>
            <w:webHidden/>
          </w:rPr>
          <w:instrText xml:space="preserve"> PAGEREF _Toc71204380 \h </w:instrText>
        </w:r>
        <w:r w:rsidR="00013986">
          <w:rPr>
            <w:noProof/>
            <w:webHidden/>
          </w:rPr>
        </w:r>
        <w:r w:rsidR="00013986">
          <w:rPr>
            <w:noProof/>
            <w:webHidden/>
          </w:rPr>
          <w:fldChar w:fldCharType="separate"/>
        </w:r>
        <w:r w:rsidR="00013986">
          <w:rPr>
            <w:noProof/>
            <w:webHidden/>
          </w:rPr>
          <w:t>32</w:t>
        </w:r>
        <w:r w:rsidR="00013986">
          <w:rPr>
            <w:noProof/>
            <w:webHidden/>
          </w:rPr>
          <w:fldChar w:fldCharType="end"/>
        </w:r>
      </w:hyperlink>
    </w:p>
    <w:p w14:paraId="4E41165A" w14:textId="5CA1E782"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81" w:history="1">
        <w:r w:rsidR="00013986" w:rsidRPr="00C5055B">
          <w:rPr>
            <w:rStyle w:val="Hyperlink"/>
            <w:noProof/>
          </w:rPr>
          <w:t>5.1</w:t>
        </w:r>
        <w:r w:rsidR="00013986">
          <w:rPr>
            <w:rFonts w:eastAsiaTheme="minorEastAsia" w:cstheme="minorBidi"/>
            <w:smallCaps w:val="0"/>
            <w:noProof/>
            <w:sz w:val="22"/>
            <w:szCs w:val="22"/>
            <w:lang w:eastAsia="en-GB" w:bidi="ar-SA"/>
          </w:rPr>
          <w:tab/>
        </w:r>
        <w:r w:rsidR="00013986" w:rsidRPr="00C5055B">
          <w:rPr>
            <w:rStyle w:val="Hyperlink"/>
            <w:noProof/>
          </w:rPr>
          <w:t>Consultation</w:t>
        </w:r>
        <w:r w:rsidR="00013986">
          <w:rPr>
            <w:noProof/>
            <w:webHidden/>
          </w:rPr>
          <w:tab/>
        </w:r>
        <w:r w:rsidR="00013986">
          <w:rPr>
            <w:noProof/>
            <w:webHidden/>
          </w:rPr>
          <w:fldChar w:fldCharType="begin"/>
        </w:r>
        <w:r w:rsidR="00013986">
          <w:rPr>
            <w:noProof/>
            <w:webHidden/>
          </w:rPr>
          <w:instrText xml:space="preserve"> PAGEREF _Toc71204381 \h </w:instrText>
        </w:r>
        <w:r w:rsidR="00013986">
          <w:rPr>
            <w:noProof/>
            <w:webHidden/>
          </w:rPr>
        </w:r>
        <w:r w:rsidR="00013986">
          <w:rPr>
            <w:noProof/>
            <w:webHidden/>
          </w:rPr>
          <w:fldChar w:fldCharType="separate"/>
        </w:r>
        <w:r w:rsidR="00013986">
          <w:rPr>
            <w:noProof/>
            <w:webHidden/>
          </w:rPr>
          <w:t>32</w:t>
        </w:r>
        <w:r w:rsidR="00013986">
          <w:rPr>
            <w:noProof/>
            <w:webHidden/>
          </w:rPr>
          <w:fldChar w:fldCharType="end"/>
        </w:r>
      </w:hyperlink>
    </w:p>
    <w:p w14:paraId="32035ECD" w14:textId="32EC0664"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82" w:history="1">
        <w:r w:rsidR="00013986" w:rsidRPr="00C5055B">
          <w:rPr>
            <w:rStyle w:val="Hyperlink"/>
            <w:noProof/>
          </w:rPr>
          <w:t>5.2</w:t>
        </w:r>
        <w:r w:rsidR="00013986">
          <w:rPr>
            <w:rFonts w:eastAsiaTheme="minorEastAsia" w:cstheme="minorBidi"/>
            <w:smallCaps w:val="0"/>
            <w:noProof/>
            <w:sz w:val="22"/>
            <w:szCs w:val="22"/>
            <w:lang w:eastAsia="en-GB" w:bidi="ar-SA"/>
          </w:rPr>
          <w:tab/>
        </w:r>
        <w:r w:rsidR="00013986" w:rsidRPr="00C5055B">
          <w:rPr>
            <w:rStyle w:val="Hyperlink"/>
            <w:noProof/>
          </w:rPr>
          <w:t>World Trade Organization (WTO)</w:t>
        </w:r>
        <w:r w:rsidR="00013986">
          <w:rPr>
            <w:noProof/>
            <w:webHidden/>
          </w:rPr>
          <w:tab/>
        </w:r>
        <w:r w:rsidR="00013986">
          <w:rPr>
            <w:noProof/>
            <w:webHidden/>
          </w:rPr>
          <w:fldChar w:fldCharType="begin"/>
        </w:r>
        <w:r w:rsidR="00013986">
          <w:rPr>
            <w:noProof/>
            <w:webHidden/>
          </w:rPr>
          <w:instrText xml:space="preserve"> PAGEREF _Toc71204382 \h </w:instrText>
        </w:r>
        <w:r w:rsidR="00013986">
          <w:rPr>
            <w:noProof/>
            <w:webHidden/>
          </w:rPr>
        </w:r>
        <w:r w:rsidR="00013986">
          <w:rPr>
            <w:noProof/>
            <w:webHidden/>
          </w:rPr>
          <w:fldChar w:fldCharType="separate"/>
        </w:r>
        <w:r w:rsidR="00013986">
          <w:rPr>
            <w:noProof/>
            <w:webHidden/>
          </w:rPr>
          <w:t>32</w:t>
        </w:r>
        <w:r w:rsidR="00013986">
          <w:rPr>
            <w:noProof/>
            <w:webHidden/>
          </w:rPr>
          <w:fldChar w:fldCharType="end"/>
        </w:r>
      </w:hyperlink>
    </w:p>
    <w:p w14:paraId="4658ABB9" w14:textId="1A7A8929" w:rsidR="00013986" w:rsidRDefault="00DC604B">
      <w:pPr>
        <w:pStyle w:val="TOC1"/>
        <w:tabs>
          <w:tab w:val="left" w:pos="440"/>
          <w:tab w:val="right" w:leader="dot" w:pos="9060"/>
        </w:tabs>
        <w:rPr>
          <w:rFonts w:eastAsiaTheme="minorEastAsia" w:cstheme="minorBidi"/>
          <w:b w:val="0"/>
          <w:bCs w:val="0"/>
          <w:caps w:val="0"/>
          <w:noProof/>
          <w:sz w:val="22"/>
          <w:szCs w:val="22"/>
          <w:lang w:eastAsia="en-GB" w:bidi="ar-SA"/>
        </w:rPr>
      </w:pPr>
      <w:hyperlink w:anchor="_Toc71204383" w:history="1">
        <w:r w:rsidR="00013986" w:rsidRPr="00C5055B">
          <w:rPr>
            <w:rStyle w:val="Hyperlink"/>
            <w:noProof/>
          </w:rPr>
          <w:t>6</w:t>
        </w:r>
        <w:r w:rsidR="00013986">
          <w:rPr>
            <w:rFonts w:eastAsiaTheme="minorEastAsia" w:cstheme="minorBidi"/>
            <w:b w:val="0"/>
            <w:bCs w:val="0"/>
            <w:caps w:val="0"/>
            <w:noProof/>
            <w:sz w:val="22"/>
            <w:szCs w:val="22"/>
            <w:lang w:eastAsia="en-GB" w:bidi="ar-SA"/>
          </w:rPr>
          <w:tab/>
        </w:r>
        <w:r w:rsidR="00013986" w:rsidRPr="00C5055B">
          <w:rPr>
            <w:rStyle w:val="Hyperlink"/>
            <w:noProof/>
          </w:rPr>
          <w:t>FSANZ Act assessment requirements</w:t>
        </w:r>
        <w:r w:rsidR="00013986">
          <w:rPr>
            <w:noProof/>
            <w:webHidden/>
          </w:rPr>
          <w:tab/>
        </w:r>
        <w:r w:rsidR="00013986">
          <w:rPr>
            <w:noProof/>
            <w:webHidden/>
          </w:rPr>
          <w:fldChar w:fldCharType="begin"/>
        </w:r>
        <w:r w:rsidR="00013986">
          <w:rPr>
            <w:noProof/>
            <w:webHidden/>
          </w:rPr>
          <w:instrText xml:space="preserve"> PAGEREF _Toc71204383 \h </w:instrText>
        </w:r>
        <w:r w:rsidR="00013986">
          <w:rPr>
            <w:noProof/>
            <w:webHidden/>
          </w:rPr>
        </w:r>
        <w:r w:rsidR="00013986">
          <w:rPr>
            <w:noProof/>
            <w:webHidden/>
          </w:rPr>
          <w:fldChar w:fldCharType="separate"/>
        </w:r>
        <w:r w:rsidR="00013986">
          <w:rPr>
            <w:noProof/>
            <w:webHidden/>
          </w:rPr>
          <w:t>33</w:t>
        </w:r>
        <w:r w:rsidR="00013986">
          <w:rPr>
            <w:noProof/>
            <w:webHidden/>
          </w:rPr>
          <w:fldChar w:fldCharType="end"/>
        </w:r>
      </w:hyperlink>
    </w:p>
    <w:p w14:paraId="52C0BC76" w14:textId="14239D0D"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84" w:history="1">
        <w:r w:rsidR="00013986" w:rsidRPr="00C5055B">
          <w:rPr>
            <w:rStyle w:val="Hyperlink"/>
            <w:noProof/>
          </w:rPr>
          <w:t>6.1</w:t>
        </w:r>
        <w:r w:rsidR="00013986">
          <w:rPr>
            <w:rFonts w:eastAsiaTheme="minorEastAsia" w:cstheme="minorBidi"/>
            <w:smallCaps w:val="0"/>
            <w:noProof/>
            <w:sz w:val="22"/>
            <w:szCs w:val="22"/>
            <w:lang w:eastAsia="en-GB" w:bidi="ar-SA"/>
          </w:rPr>
          <w:tab/>
        </w:r>
        <w:r w:rsidR="00013986" w:rsidRPr="00C5055B">
          <w:rPr>
            <w:rStyle w:val="Hyperlink"/>
            <w:noProof/>
          </w:rPr>
          <w:t>Section 29</w:t>
        </w:r>
        <w:r w:rsidR="00013986">
          <w:rPr>
            <w:noProof/>
            <w:webHidden/>
          </w:rPr>
          <w:tab/>
        </w:r>
        <w:r w:rsidR="00013986">
          <w:rPr>
            <w:noProof/>
            <w:webHidden/>
          </w:rPr>
          <w:fldChar w:fldCharType="begin"/>
        </w:r>
        <w:r w:rsidR="00013986">
          <w:rPr>
            <w:noProof/>
            <w:webHidden/>
          </w:rPr>
          <w:instrText xml:space="preserve"> PAGEREF _Toc71204384 \h </w:instrText>
        </w:r>
        <w:r w:rsidR="00013986">
          <w:rPr>
            <w:noProof/>
            <w:webHidden/>
          </w:rPr>
        </w:r>
        <w:r w:rsidR="00013986">
          <w:rPr>
            <w:noProof/>
            <w:webHidden/>
          </w:rPr>
          <w:fldChar w:fldCharType="separate"/>
        </w:r>
        <w:r w:rsidR="00013986">
          <w:rPr>
            <w:noProof/>
            <w:webHidden/>
          </w:rPr>
          <w:t>33</w:t>
        </w:r>
        <w:r w:rsidR="00013986">
          <w:rPr>
            <w:noProof/>
            <w:webHidden/>
          </w:rPr>
          <w:fldChar w:fldCharType="end"/>
        </w:r>
      </w:hyperlink>
    </w:p>
    <w:p w14:paraId="470AD60E" w14:textId="6BB50E2D" w:rsidR="00013986" w:rsidRDefault="00DC604B">
      <w:pPr>
        <w:pStyle w:val="TOC3"/>
        <w:tabs>
          <w:tab w:val="left" w:pos="1100"/>
          <w:tab w:val="right" w:leader="dot" w:pos="9060"/>
        </w:tabs>
        <w:rPr>
          <w:rFonts w:eastAsiaTheme="minorEastAsia" w:cstheme="minorBidi"/>
          <w:i w:val="0"/>
          <w:iCs w:val="0"/>
          <w:noProof/>
          <w:sz w:val="22"/>
          <w:szCs w:val="22"/>
          <w:lang w:eastAsia="en-GB" w:bidi="ar-SA"/>
        </w:rPr>
      </w:pPr>
      <w:hyperlink w:anchor="_Toc71204385" w:history="1">
        <w:r w:rsidR="00013986" w:rsidRPr="00C5055B">
          <w:rPr>
            <w:rStyle w:val="Hyperlink"/>
            <w:noProof/>
          </w:rPr>
          <w:t>6.1.1</w:t>
        </w:r>
        <w:r w:rsidR="00013986">
          <w:rPr>
            <w:rFonts w:eastAsiaTheme="minorEastAsia" w:cstheme="minorBidi"/>
            <w:i w:val="0"/>
            <w:iCs w:val="0"/>
            <w:noProof/>
            <w:sz w:val="22"/>
            <w:szCs w:val="22"/>
            <w:lang w:eastAsia="en-GB" w:bidi="ar-SA"/>
          </w:rPr>
          <w:tab/>
        </w:r>
        <w:r w:rsidR="00013986" w:rsidRPr="00C5055B">
          <w:rPr>
            <w:rStyle w:val="Hyperlink"/>
            <w:noProof/>
          </w:rPr>
          <w:t>Consideration of costs and benefits</w:t>
        </w:r>
        <w:r w:rsidR="00013986">
          <w:rPr>
            <w:noProof/>
            <w:webHidden/>
          </w:rPr>
          <w:tab/>
        </w:r>
        <w:r w:rsidR="00013986">
          <w:rPr>
            <w:noProof/>
            <w:webHidden/>
          </w:rPr>
          <w:fldChar w:fldCharType="begin"/>
        </w:r>
        <w:r w:rsidR="00013986">
          <w:rPr>
            <w:noProof/>
            <w:webHidden/>
          </w:rPr>
          <w:instrText xml:space="preserve"> PAGEREF _Toc71204385 \h </w:instrText>
        </w:r>
        <w:r w:rsidR="00013986">
          <w:rPr>
            <w:noProof/>
            <w:webHidden/>
          </w:rPr>
        </w:r>
        <w:r w:rsidR="00013986">
          <w:rPr>
            <w:noProof/>
            <w:webHidden/>
          </w:rPr>
          <w:fldChar w:fldCharType="separate"/>
        </w:r>
        <w:r w:rsidR="00013986">
          <w:rPr>
            <w:noProof/>
            <w:webHidden/>
          </w:rPr>
          <w:t>33</w:t>
        </w:r>
        <w:r w:rsidR="00013986">
          <w:rPr>
            <w:noProof/>
            <w:webHidden/>
          </w:rPr>
          <w:fldChar w:fldCharType="end"/>
        </w:r>
      </w:hyperlink>
    </w:p>
    <w:p w14:paraId="05C2B31A" w14:textId="34983C33" w:rsidR="00013986" w:rsidRDefault="00DC604B">
      <w:pPr>
        <w:pStyle w:val="TOC3"/>
        <w:tabs>
          <w:tab w:val="left" w:pos="1100"/>
          <w:tab w:val="right" w:leader="dot" w:pos="9060"/>
        </w:tabs>
        <w:rPr>
          <w:rFonts w:eastAsiaTheme="minorEastAsia" w:cstheme="minorBidi"/>
          <w:i w:val="0"/>
          <w:iCs w:val="0"/>
          <w:noProof/>
          <w:sz w:val="22"/>
          <w:szCs w:val="22"/>
          <w:lang w:eastAsia="en-GB" w:bidi="ar-SA"/>
        </w:rPr>
      </w:pPr>
      <w:hyperlink w:anchor="_Toc71204386" w:history="1">
        <w:r w:rsidR="00013986" w:rsidRPr="00C5055B">
          <w:rPr>
            <w:rStyle w:val="Hyperlink"/>
            <w:noProof/>
          </w:rPr>
          <w:t>6.1.2</w:t>
        </w:r>
        <w:r w:rsidR="00013986">
          <w:rPr>
            <w:rFonts w:eastAsiaTheme="minorEastAsia" w:cstheme="minorBidi"/>
            <w:i w:val="0"/>
            <w:iCs w:val="0"/>
            <w:noProof/>
            <w:sz w:val="22"/>
            <w:szCs w:val="22"/>
            <w:lang w:eastAsia="en-GB" w:bidi="ar-SA"/>
          </w:rPr>
          <w:tab/>
        </w:r>
        <w:r w:rsidR="00013986" w:rsidRPr="00C5055B">
          <w:rPr>
            <w:rStyle w:val="Hyperlink"/>
            <w:noProof/>
          </w:rPr>
          <w:t>Other measures</w:t>
        </w:r>
        <w:r w:rsidR="00013986">
          <w:rPr>
            <w:noProof/>
            <w:webHidden/>
          </w:rPr>
          <w:tab/>
        </w:r>
        <w:r w:rsidR="00013986">
          <w:rPr>
            <w:noProof/>
            <w:webHidden/>
          </w:rPr>
          <w:fldChar w:fldCharType="begin"/>
        </w:r>
        <w:r w:rsidR="00013986">
          <w:rPr>
            <w:noProof/>
            <w:webHidden/>
          </w:rPr>
          <w:instrText xml:space="preserve"> PAGEREF _Toc71204386 \h </w:instrText>
        </w:r>
        <w:r w:rsidR="00013986">
          <w:rPr>
            <w:noProof/>
            <w:webHidden/>
          </w:rPr>
        </w:r>
        <w:r w:rsidR="00013986">
          <w:rPr>
            <w:noProof/>
            <w:webHidden/>
          </w:rPr>
          <w:fldChar w:fldCharType="separate"/>
        </w:r>
        <w:r w:rsidR="00013986">
          <w:rPr>
            <w:noProof/>
            <w:webHidden/>
          </w:rPr>
          <w:t>34</w:t>
        </w:r>
        <w:r w:rsidR="00013986">
          <w:rPr>
            <w:noProof/>
            <w:webHidden/>
          </w:rPr>
          <w:fldChar w:fldCharType="end"/>
        </w:r>
      </w:hyperlink>
    </w:p>
    <w:p w14:paraId="195DA206" w14:textId="60B0B216" w:rsidR="00013986" w:rsidRDefault="00DC604B">
      <w:pPr>
        <w:pStyle w:val="TOC3"/>
        <w:tabs>
          <w:tab w:val="left" w:pos="1100"/>
          <w:tab w:val="right" w:leader="dot" w:pos="9060"/>
        </w:tabs>
        <w:rPr>
          <w:rFonts w:eastAsiaTheme="minorEastAsia" w:cstheme="minorBidi"/>
          <w:i w:val="0"/>
          <w:iCs w:val="0"/>
          <w:noProof/>
          <w:sz w:val="22"/>
          <w:szCs w:val="22"/>
          <w:lang w:eastAsia="en-GB" w:bidi="ar-SA"/>
        </w:rPr>
      </w:pPr>
      <w:hyperlink w:anchor="_Toc71204387" w:history="1">
        <w:r w:rsidR="00013986" w:rsidRPr="00C5055B">
          <w:rPr>
            <w:rStyle w:val="Hyperlink"/>
            <w:noProof/>
          </w:rPr>
          <w:t>6.1.3</w:t>
        </w:r>
        <w:r w:rsidR="00013986">
          <w:rPr>
            <w:rFonts w:eastAsiaTheme="minorEastAsia" w:cstheme="minorBidi"/>
            <w:i w:val="0"/>
            <w:iCs w:val="0"/>
            <w:noProof/>
            <w:sz w:val="22"/>
            <w:szCs w:val="22"/>
            <w:lang w:eastAsia="en-GB" w:bidi="ar-SA"/>
          </w:rPr>
          <w:tab/>
        </w:r>
        <w:r w:rsidR="00013986" w:rsidRPr="00C5055B">
          <w:rPr>
            <w:rStyle w:val="Hyperlink"/>
            <w:noProof/>
          </w:rPr>
          <w:t>Any relevant New Zealand standards</w:t>
        </w:r>
        <w:r w:rsidR="00013986">
          <w:rPr>
            <w:noProof/>
            <w:webHidden/>
          </w:rPr>
          <w:tab/>
        </w:r>
        <w:r w:rsidR="00013986">
          <w:rPr>
            <w:noProof/>
            <w:webHidden/>
          </w:rPr>
          <w:fldChar w:fldCharType="begin"/>
        </w:r>
        <w:r w:rsidR="00013986">
          <w:rPr>
            <w:noProof/>
            <w:webHidden/>
          </w:rPr>
          <w:instrText xml:space="preserve"> PAGEREF _Toc71204387 \h </w:instrText>
        </w:r>
        <w:r w:rsidR="00013986">
          <w:rPr>
            <w:noProof/>
            <w:webHidden/>
          </w:rPr>
        </w:r>
        <w:r w:rsidR="00013986">
          <w:rPr>
            <w:noProof/>
            <w:webHidden/>
          </w:rPr>
          <w:fldChar w:fldCharType="separate"/>
        </w:r>
        <w:r w:rsidR="00013986">
          <w:rPr>
            <w:noProof/>
            <w:webHidden/>
          </w:rPr>
          <w:t>34</w:t>
        </w:r>
        <w:r w:rsidR="00013986">
          <w:rPr>
            <w:noProof/>
            <w:webHidden/>
          </w:rPr>
          <w:fldChar w:fldCharType="end"/>
        </w:r>
      </w:hyperlink>
    </w:p>
    <w:p w14:paraId="381D6EC9" w14:textId="49939BCA" w:rsidR="00013986" w:rsidRDefault="00DC604B">
      <w:pPr>
        <w:pStyle w:val="TOC3"/>
        <w:tabs>
          <w:tab w:val="left" w:pos="1100"/>
          <w:tab w:val="right" w:leader="dot" w:pos="9060"/>
        </w:tabs>
        <w:rPr>
          <w:rFonts w:eastAsiaTheme="minorEastAsia" w:cstheme="minorBidi"/>
          <w:i w:val="0"/>
          <w:iCs w:val="0"/>
          <w:noProof/>
          <w:sz w:val="22"/>
          <w:szCs w:val="22"/>
          <w:lang w:eastAsia="en-GB" w:bidi="ar-SA"/>
        </w:rPr>
      </w:pPr>
      <w:hyperlink w:anchor="_Toc71204388" w:history="1">
        <w:r w:rsidR="00013986" w:rsidRPr="00C5055B">
          <w:rPr>
            <w:rStyle w:val="Hyperlink"/>
            <w:noProof/>
          </w:rPr>
          <w:t>6.1.4</w:t>
        </w:r>
        <w:r w:rsidR="00013986">
          <w:rPr>
            <w:rFonts w:eastAsiaTheme="minorEastAsia" w:cstheme="minorBidi"/>
            <w:i w:val="0"/>
            <w:iCs w:val="0"/>
            <w:noProof/>
            <w:sz w:val="22"/>
            <w:szCs w:val="22"/>
            <w:lang w:eastAsia="en-GB" w:bidi="ar-SA"/>
          </w:rPr>
          <w:tab/>
        </w:r>
        <w:r w:rsidR="00013986" w:rsidRPr="00C5055B">
          <w:rPr>
            <w:rStyle w:val="Hyperlink"/>
            <w:noProof/>
          </w:rPr>
          <w:t>Any other relevant matters</w:t>
        </w:r>
        <w:r w:rsidR="00013986">
          <w:rPr>
            <w:noProof/>
            <w:webHidden/>
          </w:rPr>
          <w:tab/>
        </w:r>
        <w:r w:rsidR="00013986">
          <w:rPr>
            <w:noProof/>
            <w:webHidden/>
          </w:rPr>
          <w:fldChar w:fldCharType="begin"/>
        </w:r>
        <w:r w:rsidR="00013986">
          <w:rPr>
            <w:noProof/>
            <w:webHidden/>
          </w:rPr>
          <w:instrText xml:space="preserve"> PAGEREF _Toc71204388 \h </w:instrText>
        </w:r>
        <w:r w:rsidR="00013986">
          <w:rPr>
            <w:noProof/>
            <w:webHidden/>
          </w:rPr>
        </w:r>
        <w:r w:rsidR="00013986">
          <w:rPr>
            <w:noProof/>
            <w:webHidden/>
          </w:rPr>
          <w:fldChar w:fldCharType="separate"/>
        </w:r>
        <w:r w:rsidR="00013986">
          <w:rPr>
            <w:noProof/>
            <w:webHidden/>
          </w:rPr>
          <w:t>34</w:t>
        </w:r>
        <w:r w:rsidR="00013986">
          <w:rPr>
            <w:noProof/>
            <w:webHidden/>
          </w:rPr>
          <w:fldChar w:fldCharType="end"/>
        </w:r>
      </w:hyperlink>
    </w:p>
    <w:p w14:paraId="5C2FEE1C" w14:textId="0A977F0A"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89" w:history="1">
        <w:r w:rsidR="00013986" w:rsidRPr="00C5055B">
          <w:rPr>
            <w:rStyle w:val="Hyperlink"/>
            <w:noProof/>
          </w:rPr>
          <w:t>6.2.</w:t>
        </w:r>
        <w:r w:rsidR="00013986">
          <w:rPr>
            <w:rFonts w:eastAsiaTheme="minorEastAsia" w:cstheme="minorBidi"/>
            <w:smallCaps w:val="0"/>
            <w:noProof/>
            <w:sz w:val="22"/>
            <w:szCs w:val="22"/>
            <w:lang w:eastAsia="en-GB" w:bidi="ar-SA"/>
          </w:rPr>
          <w:tab/>
        </w:r>
        <w:r w:rsidR="00013986" w:rsidRPr="00C5055B">
          <w:rPr>
            <w:rStyle w:val="Hyperlink"/>
            <w:noProof/>
          </w:rPr>
          <w:t>Subsection 18(1)</w:t>
        </w:r>
        <w:r w:rsidR="00013986">
          <w:rPr>
            <w:noProof/>
            <w:webHidden/>
          </w:rPr>
          <w:tab/>
        </w:r>
        <w:r w:rsidR="00013986">
          <w:rPr>
            <w:noProof/>
            <w:webHidden/>
          </w:rPr>
          <w:fldChar w:fldCharType="begin"/>
        </w:r>
        <w:r w:rsidR="00013986">
          <w:rPr>
            <w:noProof/>
            <w:webHidden/>
          </w:rPr>
          <w:instrText xml:space="preserve"> PAGEREF _Toc71204389 \h </w:instrText>
        </w:r>
        <w:r w:rsidR="00013986">
          <w:rPr>
            <w:noProof/>
            <w:webHidden/>
          </w:rPr>
        </w:r>
        <w:r w:rsidR="00013986">
          <w:rPr>
            <w:noProof/>
            <w:webHidden/>
          </w:rPr>
          <w:fldChar w:fldCharType="separate"/>
        </w:r>
        <w:r w:rsidR="00013986">
          <w:rPr>
            <w:noProof/>
            <w:webHidden/>
          </w:rPr>
          <w:t>34</w:t>
        </w:r>
        <w:r w:rsidR="00013986">
          <w:rPr>
            <w:noProof/>
            <w:webHidden/>
          </w:rPr>
          <w:fldChar w:fldCharType="end"/>
        </w:r>
      </w:hyperlink>
    </w:p>
    <w:p w14:paraId="35CE80E3" w14:textId="3C2EFC69" w:rsidR="00013986" w:rsidRDefault="00DC604B">
      <w:pPr>
        <w:pStyle w:val="TOC3"/>
        <w:tabs>
          <w:tab w:val="left" w:pos="1100"/>
          <w:tab w:val="right" w:leader="dot" w:pos="9060"/>
        </w:tabs>
        <w:rPr>
          <w:rFonts w:eastAsiaTheme="minorEastAsia" w:cstheme="minorBidi"/>
          <w:i w:val="0"/>
          <w:iCs w:val="0"/>
          <w:noProof/>
          <w:sz w:val="22"/>
          <w:szCs w:val="22"/>
          <w:lang w:eastAsia="en-GB" w:bidi="ar-SA"/>
        </w:rPr>
      </w:pPr>
      <w:hyperlink w:anchor="_Toc71204390" w:history="1">
        <w:r w:rsidR="00013986" w:rsidRPr="00C5055B">
          <w:rPr>
            <w:rStyle w:val="Hyperlink"/>
            <w:noProof/>
          </w:rPr>
          <w:t>6.2.1</w:t>
        </w:r>
        <w:r w:rsidR="00013986">
          <w:rPr>
            <w:rFonts w:eastAsiaTheme="minorEastAsia" w:cstheme="minorBidi"/>
            <w:i w:val="0"/>
            <w:iCs w:val="0"/>
            <w:noProof/>
            <w:sz w:val="22"/>
            <w:szCs w:val="22"/>
            <w:lang w:eastAsia="en-GB" w:bidi="ar-SA"/>
          </w:rPr>
          <w:tab/>
        </w:r>
        <w:r w:rsidR="00013986" w:rsidRPr="00C5055B">
          <w:rPr>
            <w:rStyle w:val="Hyperlink"/>
            <w:noProof/>
          </w:rPr>
          <w:t>Protection of public health and safety</w:t>
        </w:r>
        <w:r w:rsidR="00013986">
          <w:rPr>
            <w:noProof/>
            <w:webHidden/>
          </w:rPr>
          <w:tab/>
        </w:r>
        <w:r w:rsidR="00013986">
          <w:rPr>
            <w:noProof/>
            <w:webHidden/>
          </w:rPr>
          <w:fldChar w:fldCharType="begin"/>
        </w:r>
        <w:r w:rsidR="00013986">
          <w:rPr>
            <w:noProof/>
            <w:webHidden/>
          </w:rPr>
          <w:instrText xml:space="preserve"> PAGEREF _Toc71204390 \h </w:instrText>
        </w:r>
        <w:r w:rsidR="00013986">
          <w:rPr>
            <w:noProof/>
            <w:webHidden/>
          </w:rPr>
        </w:r>
        <w:r w:rsidR="00013986">
          <w:rPr>
            <w:noProof/>
            <w:webHidden/>
          </w:rPr>
          <w:fldChar w:fldCharType="separate"/>
        </w:r>
        <w:r w:rsidR="00013986">
          <w:rPr>
            <w:noProof/>
            <w:webHidden/>
          </w:rPr>
          <w:t>34</w:t>
        </w:r>
        <w:r w:rsidR="00013986">
          <w:rPr>
            <w:noProof/>
            <w:webHidden/>
          </w:rPr>
          <w:fldChar w:fldCharType="end"/>
        </w:r>
      </w:hyperlink>
    </w:p>
    <w:p w14:paraId="4E3360B3" w14:textId="560E2386" w:rsidR="00013986" w:rsidRDefault="00DC604B">
      <w:pPr>
        <w:pStyle w:val="TOC3"/>
        <w:tabs>
          <w:tab w:val="left" w:pos="1100"/>
          <w:tab w:val="right" w:leader="dot" w:pos="9060"/>
        </w:tabs>
        <w:rPr>
          <w:rFonts w:eastAsiaTheme="minorEastAsia" w:cstheme="minorBidi"/>
          <w:i w:val="0"/>
          <w:iCs w:val="0"/>
          <w:noProof/>
          <w:sz w:val="22"/>
          <w:szCs w:val="22"/>
          <w:lang w:eastAsia="en-GB" w:bidi="ar-SA"/>
        </w:rPr>
      </w:pPr>
      <w:hyperlink w:anchor="_Toc71204391" w:history="1">
        <w:r w:rsidR="00013986" w:rsidRPr="00C5055B">
          <w:rPr>
            <w:rStyle w:val="Hyperlink"/>
            <w:noProof/>
          </w:rPr>
          <w:t>6.2.2</w:t>
        </w:r>
        <w:r w:rsidR="00013986">
          <w:rPr>
            <w:rFonts w:eastAsiaTheme="minorEastAsia" w:cstheme="minorBidi"/>
            <w:i w:val="0"/>
            <w:iCs w:val="0"/>
            <w:noProof/>
            <w:sz w:val="22"/>
            <w:szCs w:val="22"/>
            <w:lang w:eastAsia="en-GB" w:bidi="ar-SA"/>
          </w:rPr>
          <w:tab/>
        </w:r>
        <w:r w:rsidR="00013986" w:rsidRPr="00C5055B">
          <w:rPr>
            <w:rStyle w:val="Hyperlink"/>
            <w:noProof/>
          </w:rPr>
          <w:t>The provision of adequate information relating to food to enable consumers to make informed choices</w:t>
        </w:r>
        <w:r w:rsidR="00013986">
          <w:rPr>
            <w:noProof/>
            <w:webHidden/>
          </w:rPr>
          <w:tab/>
        </w:r>
        <w:r w:rsidR="00013986">
          <w:rPr>
            <w:noProof/>
            <w:webHidden/>
          </w:rPr>
          <w:fldChar w:fldCharType="begin"/>
        </w:r>
        <w:r w:rsidR="00013986">
          <w:rPr>
            <w:noProof/>
            <w:webHidden/>
          </w:rPr>
          <w:instrText xml:space="preserve"> PAGEREF _Toc71204391 \h </w:instrText>
        </w:r>
        <w:r w:rsidR="00013986">
          <w:rPr>
            <w:noProof/>
            <w:webHidden/>
          </w:rPr>
        </w:r>
        <w:r w:rsidR="00013986">
          <w:rPr>
            <w:noProof/>
            <w:webHidden/>
          </w:rPr>
          <w:fldChar w:fldCharType="separate"/>
        </w:r>
        <w:r w:rsidR="00013986">
          <w:rPr>
            <w:noProof/>
            <w:webHidden/>
          </w:rPr>
          <w:t>34</w:t>
        </w:r>
        <w:r w:rsidR="00013986">
          <w:rPr>
            <w:noProof/>
            <w:webHidden/>
          </w:rPr>
          <w:fldChar w:fldCharType="end"/>
        </w:r>
      </w:hyperlink>
    </w:p>
    <w:p w14:paraId="2411A3DF" w14:textId="0D083095" w:rsidR="00013986" w:rsidRDefault="00DC604B">
      <w:pPr>
        <w:pStyle w:val="TOC3"/>
        <w:tabs>
          <w:tab w:val="left" w:pos="1100"/>
          <w:tab w:val="right" w:leader="dot" w:pos="9060"/>
        </w:tabs>
        <w:rPr>
          <w:rFonts w:eastAsiaTheme="minorEastAsia" w:cstheme="minorBidi"/>
          <w:i w:val="0"/>
          <w:iCs w:val="0"/>
          <w:noProof/>
          <w:sz w:val="22"/>
          <w:szCs w:val="22"/>
          <w:lang w:eastAsia="en-GB" w:bidi="ar-SA"/>
        </w:rPr>
      </w:pPr>
      <w:hyperlink w:anchor="_Toc71204392" w:history="1">
        <w:r w:rsidR="00013986" w:rsidRPr="00C5055B">
          <w:rPr>
            <w:rStyle w:val="Hyperlink"/>
            <w:noProof/>
          </w:rPr>
          <w:t>6.2.3</w:t>
        </w:r>
        <w:r w:rsidR="00013986">
          <w:rPr>
            <w:rFonts w:eastAsiaTheme="minorEastAsia" w:cstheme="minorBidi"/>
            <w:i w:val="0"/>
            <w:iCs w:val="0"/>
            <w:noProof/>
            <w:sz w:val="22"/>
            <w:szCs w:val="22"/>
            <w:lang w:eastAsia="en-GB" w:bidi="ar-SA"/>
          </w:rPr>
          <w:tab/>
        </w:r>
        <w:r w:rsidR="00013986" w:rsidRPr="00C5055B">
          <w:rPr>
            <w:rStyle w:val="Hyperlink"/>
            <w:noProof/>
          </w:rPr>
          <w:t>The prevention of misleading or deceptive conduct</w:t>
        </w:r>
        <w:r w:rsidR="00013986">
          <w:rPr>
            <w:noProof/>
            <w:webHidden/>
          </w:rPr>
          <w:tab/>
        </w:r>
        <w:r w:rsidR="00013986">
          <w:rPr>
            <w:noProof/>
            <w:webHidden/>
          </w:rPr>
          <w:fldChar w:fldCharType="begin"/>
        </w:r>
        <w:r w:rsidR="00013986">
          <w:rPr>
            <w:noProof/>
            <w:webHidden/>
          </w:rPr>
          <w:instrText xml:space="preserve"> PAGEREF _Toc71204392 \h </w:instrText>
        </w:r>
        <w:r w:rsidR="00013986">
          <w:rPr>
            <w:noProof/>
            <w:webHidden/>
          </w:rPr>
        </w:r>
        <w:r w:rsidR="00013986">
          <w:rPr>
            <w:noProof/>
            <w:webHidden/>
          </w:rPr>
          <w:fldChar w:fldCharType="separate"/>
        </w:r>
        <w:r w:rsidR="00013986">
          <w:rPr>
            <w:noProof/>
            <w:webHidden/>
          </w:rPr>
          <w:t>34</w:t>
        </w:r>
        <w:r w:rsidR="00013986">
          <w:rPr>
            <w:noProof/>
            <w:webHidden/>
          </w:rPr>
          <w:fldChar w:fldCharType="end"/>
        </w:r>
      </w:hyperlink>
    </w:p>
    <w:p w14:paraId="53C86A9E" w14:textId="56346EE4" w:rsidR="00013986" w:rsidRDefault="00DC604B">
      <w:pPr>
        <w:pStyle w:val="TOC2"/>
        <w:tabs>
          <w:tab w:val="left" w:pos="880"/>
          <w:tab w:val="right" w:leader="dot" w:pos="9060"/>
        </w:tabs>
        <w:rPr>
          <w:rFonts w:eastAsiaTheme="minorEastAsia" w:cstheme="minorBidi"/>
          <w:smallCaps w:val="0"/>
          <w:noProof/>
          <w:sz w:val="22"/>
          <w:szCs w:val="22"/>
          <w:lang w:eastAsia="en-GB" w:bidi="ar-SA"/>
        </w:rPr>
      </w:pPr>
      <w:hyperlink w:anchor="_Toc71204393" w:history="1">
        <w:r w:rsidR="00013986" w:rsidRPr="00C5055B">
          <w:rPr>
            <w:rStyle w:val="Hyperlink"/>
            <w:noProof/>
            <w:lang w:eastAsia="en-AU"/>
          </w:rPr>
          <w:t>6.3</w:t>
        </w:r>
        <w:r w:rsidR="00013986">
          <w:rPr>
            <w:rFonts w:eastAsiaTheme="minorEastAsia" w:cstheme="minorBidi"/>
            <w:smallCaps w:val="0"/>
            <w:noProof/>
            <w:sz w:val="22"/>
            <w:szCs w:val="22"/>
            <w:lang w:eastAsia="en-GB" w:bidi="ar-SA"/>
          </w:rPr>
          <w:tab/>
        </w:r>
        <w:r w:rsidR="00013986" w:rsidRPr="00C5055B">
          <w:rPr>
            <w:rStyle w:val="Hyperlink"/>
            <w:noProof/>
            <w:lang w:eastAsia="en-AU"/>
          </w:rPr>
          <w:t>Subsection 18(2) considerations</w:t>
        </w:r>
        <w:r w:rsidR="00013986">
          <w:rPr>
            <w:noProof/>
            <w:webHidden/>
          </w:rPr>
          <w:tab/>
        </w:r>
        <w:r w:rsidR="00013986">
          <w:rPr>
            <w:noProof/>
            <w:webHidden/>
          </w:rPr>
          <w:fldChar w:fldCharType="begin"/>
        </w:r>
        <w:r w:rsidR="00013986">
          <w:rPr>
            <w:noProof/>
            <w:webHidden/>
          </w:rPr>
          <w:instrText xml:space="preserve"> PAGEREF _Toc71204393 \h </w:instrText>
        </w:r>
        <w:r w:rsidR="00013986">
          <w:rPr>
            <w:noProof/>
            <w:webHidden/>
          </w:rPr>
        </w:r>
        <w:r w:rsidR="00013986">
          <w:rPr>
            <w:noProof/>
            <w:webHidden/>
          </w:rPr>
          <w:fldChar w:fldCharType="separate"/>
        </w:r>
        <w:r w:rsidR="00013986">
          <w:rPr>
            <w:noProof/>
            <w:webHidden/>
          </w:rPr>
          <w:t>35</w:t>
        </w:r>
        <w:r w:rsidR="00013986">
          <w:rPr>
            <w:noProof/>
            <w:webHidden/>
          </w:rPr>
          <w:fldChar w:fldCharType="end"/>
        </w:r>
      </w:hyperlink>
    </w:p>
    <w:p w14:paraId="4AAF099D" w14:textId="0803C5CA" w:rsidR="00013986" w:rsidRDefault="00DC604B">
      <w:pPr>
        <w:pStyle w:val="TOC1"/>
        <w:tabs>
          <w:tab w:val="left" w:pos="440"/>
          <w:tab w:val="right" w:leader="dot" w:pos="9060"/>
        </w:tabs>
        <w:rPr>
          <w:rFonts w:eastAsiaTheme="minorEastAsia" w:cstheme="minorBidi"/>
          <w:b w:val="0"/>
          <w:bCs w:val="0"/>
          <w:caps w:val="0"/>
          <w:noProof/>
          <w:sz w:val="22"/>
          <w:szCs w:val="22"/>
          <w:lang w:eastAsia="en-GB" w:bidi="ar-SA"/>
        </w:rPr>
      </w:pPr>
      <w:hyperlink w:anchor="_Toc71204394" w:history="1">
        <w:r w:rsidR="00013986" w:rsidRPr="00C5055B">
          <w:rPr>
            <w:rStyle w:val="Hyperlink"/>
            <w:noProof/>
          </w:rPr>
          <w:t>7</w:t>
        </w:r>
        <w:r w:rsidR="00013986">
          <w:rPr>
            <w:rFonts w:eastAsiaTheme="minorEastAsia" w:cstheme="minorBidi"/>
            <w:b w:val="0"/>
            <w:bCs w:val="0"/>
            <w:caps w:val="0"/>
            <w:noProof/>
            <w:sz w:val="22"/>
            <w:szCs w:val="22"/>
            <w:lang w:eastAsia="en-GB" w:bidi="ar-SA"/>
          </w:rPr>
          <w:tab/>
        </w:r>
        <w:r w:rsidR="00013986" w:rsidRPr="00C5055B">
          <w:rPr>
            <w:rStyle w:val="Hyperlink"/>
            <w:noProof/>
          </w:rPr>
          <w:t>References</w:t>
        </w:r>
        <w:r w:rsidR="00013986">
          <w:rPr>
            <w:noProof/>
            <w:webHidden/>
          </w:rPr>
          <w:tab/>
        </w:r>
        <w:r w:rsidR="00013986">
          <w:rPr>
            <w:noProof/>
            <w:webHidden/>
          </w:rPr>
          <w:fldChar w:fldCharType="begin"/>
        </w:r>
        <w:r w:rsidR="00013986">
          <w:rPr>
            <w:noProof/>
            <w:webHidden/>
          </w:rPr>
          <w:instrText xml:space="preserve"> PAGEREF _Toc71204394 \h </w:instrText>
        </w:r>
        <w:r w:rsidR="00013986">
          <w:rPr>
            <w:noProof/>
            <w:webHidden/>
          </w:rPr>
        </w:r>
        <w:r w:rsidR="00013986">
          <w:rPr>
            <w:noProof/>
            <w:webHidden/>
          </w:rPr>
          <w:fldChar w:fldCharType="separate"/>
        </w:r>
        <w:r w:rsidR="00013986">
          <w:rPr>
            <w:noProof/>
            <w:webHidden/>
          </w:rPr>
          <w:t>36</w:t>
        </w:r>
        <w:r w:rsidR="00013986">
          <w:rPr>
            <w:noProof/>
            <w:webHidden/>
          </w:rPr>
          <w:fldChar w:fldCharType="end"/>
        </w:r>
      </w:hyperlink>
    </w:p>
    <w:p w14:paraId="38109A30" w14:textId="123BB90B" w:rsidR="00013986" w:rsidRDefault="00DC604B">
      <w:pPr>
        <w:pStyle w:val="TOC2"/>
        <w:tabs>
          <w:tab w:val="right" w:leader="dot" w:pos="9060"/>
        </w:tabs>
        <w:rPr>
          <w:rFonts w:eastAsiaTheme="minorEastAsia" w:cstheme="minorBidi"/>
          <w:smallCaps w:val="0"/>
          <w:noProof/>
          <w:sz w:val="22"/>
          <w:szCs w:val="22"/>
          <w:lang w:eastAsia="en-GB" w:bidi="ar-SA"/>
        </w:rPr>
      </w:pPr>
      <w:hyperlink w:anchor="_Toc71204395" w:history="1">
        <w:r w:rsidR="00013986" w:rsidRPr="00C5055B">
          <w:rPr>
            <w:rStyle w:val="Hyperlink"/>
            <w:noProof/>
          </w:rPr>
          <w:t xml:space="preserve">Attachment A – Approved variation to the </w:t>
        </w:r>
        <w:r w:rsidR="00013986" w:rsidRPr="00C5055B">
          <w:rPr>
            <w:rStyle w:val="Hyperlink"/>
            <w:i/>
            <w:noProof/>
          </w:rPr>
          <w:t>Australia New Zealand Food Standards Code</w:t>
        </w:r>
        <w:r w:rsidR="00013986">
          <w:rPr>
            <w:noProof/>
            <w:webHidden/>
          </w:rPr>
          <w:tab/>
        </w:r>
        <w:r w:rsidR="00013986">
          <w:rPr>
            <w:noProof/>
            <w:webHidden/>
          </w:rPr>
          <w:fldChar w:fldCharType="begin"/>
        </w:r>
        <w:r w:rsidR="00013986">
          <w:rPr>
            <w:noProof/>
            <w:webHidden/>
          </w:rPr>
          <w:instrText xml:space="preserve"> PAGEREF _Toc71204395 \h </w:instrText>
        </w:r>
        <w:r w:rsidR="00013986">
          <w:rPr>
            <w:noProof/>
            <w:webHidden/>
          </w:rPr>
        </w:r>
        <w:r w:rsidR="00013986">
          <w:rPr>
            <w:noProof/>
            <w:webHidden/>
          </w:rPr>
          <w:fldChar w:fldCharType="separate"/>
        </w:r>
        <w:r w:rsidR="00013986">
          <w:rPr>
            <w:noProof/>
            <w:webHidden/>
          </w:rPr>
          <w:t>38</w:t>
        </w:r>
        <w:r w:rsidR="00013986">
          <w:rPr>
            <w:noProof/>
            <w:webHidden/>
          </w:rPr>
          <w:fldChar w:fldCharType="end"/>
        </w:r>
      </w:hyperlink>
    </w:p>
    <w:p w14:paraId="6FF7E838" w14:textId="29B20CFD" w:rsidR="00013986" w:rsidRDefault="00DC604B">
      <w:pPr>
        <w:pStyle w:val="TOC2"/>
        <w:tabs>
          <w:tab w:val="right" w:leader="dot" w:pos="9060"/>
        </w:tabs>
        <w:rPr>
          <w:rFonts w:eastAsiaTheme="minorEastAsia" w:cstheme="minorBidi"/>
          <w:smallCaps w:val="0"/>
          <w:noProof/>
          <w:sz w:val="22"/>
          <w:szCs w:val="22"/>
          <w:lang w:eastAsia="en-GB" w:bidi="ar-SA"/>
        </w:rPr>
      </w:pPr>
      <w:hyperlink w:anchor="_Toc71204396" w:history="1">
        <w:r w:rsidR="00013986" w:rsidRPr="00C5055B">
          <w:rPr>
            <w:rStyle w:val="Hyperlink"/>
            <w:noProof/>
          </w:rPr>
          <w:t>Attachment B – Explanatory Statement</w:t>
        </w:r>
        <w:r w:rsidR="00013986">
          <w:rPr>
            <w:noProof/>
            <w:webHidden/>
          </w:rPr>
          <w:tab/>
        </w:r>
        <w:r w:rsidR="00013986">
          <w:rPr>
            <w:noProof/>
            <w:webHidden/>
          </w:rPr>
          <w:fldChar w:fldCharType="begin"/>
        </w:r>
        <w:r w:rsidR="00013986">
          <w:rPr>
            <w:noProof/>
            <w:webHidden/>
          </w:rPr>
          <w:instrText xml:space="preserve"> PAGEREF _Toc71204396 \h </w:instrText>
        </w:r>
        <w:r w:rsidR="00013986">
          <w:rPr>
            <w:noProof/>
            <w:webHidden/>
          </w:rPr>
        </w:r>
        <w:r w:rsidR="00013986">
          <w:rPr>
            <w:noProof/>
            <w:webHidden/>
          </w:rPr>
          <w:fldChar w:fldCharType="separate"/>
        </w:r>
        <w:r w:rsidR="00013986">
          <w:rPr>
            <w:noProof/>
            <w:webHidden/>
          </w:rPr>
          <w:t>40</w:t>
        </w:r>
        <w:r w:rsidR="00013986">
          <w:rPr>
            <w:noProof/>
            <w:webHidden/>
          </w:rPr>
          <w:fldChar w:fldCharType="end"/>
        </w:r>
      </w:hyperlink>
    </w:p>
    <w:p w14:paraId="1494A2CF" w14:textId="3D2DBA46" w:rsidR="00013986" w:rsidRDefault="00DC604B">
      <w:pPr>
        <w:pStyle w:val="TOC2"/>
        <w:tabs>
          <w:tab w:val="right" w:leader="dot" w:pos="9060"/>
        </w:tabs>
        <w:rPr>
          <w:rFonts w:eastAsiaTheme="minorEastAsia" w:cstheme="minorBidi"/>
          <w:smallCaps w:val="0"/>
          <w:noProof/>
          <w:sz w:val="22"/>
          <w:szCs w:val="22"/>
          <w:lang w:eastAsia="en-GB" w:bidi="ar-SA"/>
        </w:rPr>
      </w:pPr>
      <w:hyperlink w:anchor="_Toc71204397" w:history="1">
        <w:r w:rsidR="00013986" w:rsidRPr="00C5055B">
          <w:rPr>
            <w:rStyle w:val="Hyperlink"/>
            <w:noProof/>
          </w:rPr>
          <w:t>Attachment C – Draft variation to the Australia New Zealand Food Standards Code</w:t>
        </w:r>
        <w:r w:rsidR="00013986" w:rsidRPr="00C5055B">
          <w:rPr>
            <w:rStyle w:val="Hyperlink"/>
            <w:i/>
            <w:noProof/>
          </w:rPr>
          <w:t xml:space="preserve"> </w:t>
        </w:r>
        <w:r w:rsidR="00013986" w:rsidRPr="00C5055B">
          <w:rPr>
            <w:rStyle w:val="Hyperlink"/>
            <w:noProof/>
          </w:rPr>
          <w:t>(Call for Submissions)</w:t>
        </w:r>
        <w:r w:rsidR="00013986">
          <w:rPr>
            <w:noProof/>
            <w:webHidden/>
          </w:rPr>
          <w:tab/>
        </w:r>
        <w:r w:rsidR="00013986">
          <w:rPr>
            <w:noProof/>
            <w:webHidden/>
          </w:rPr>
          <w:fldChar w:fldCharType="begin"/>
        </w:r>
        <w:r w:rsidR="00013986">
          <w:rPr>
            <w:noProof/>
            <w:webHidden/>
          </w:rPr>
          <w:instrText xml:space="preserve"> PAGEREF _Toc71204397 \h </w:instrText>
        </w:r>
        <w:r w:rsidR="00013986">
          <w:rPr>
            <w:noProof/>
            <w:webHidden/>
          </w:rPr>
        </w:r>
        <w:r w:rsidR="00013986">
          <w:rPr>
            <w:noProof/>
            <w:webHidden/>
          </w:rPr>
          <w:fldChar w:fldCharType="separate"/>
        </w:r>
        <w:r w:rsidR="00013986">
          <w:rPr>
            <w:noProof/>
            <w:webHidden/>
          </w:rPr>
          <w:t>42</w:t>
        </w:r>
        <w:r w:rsidR="00013986">
          <w:rPr>
            <w:noProof/>
            <w:webHidden/>
          </w:rPr>
          <w:fldChar w:fldCharType="end"/>
        </w:r>
      </w:hyperlink>
    </w:p>
    <w:p w14:paraId="2536996C" w14:textId="39CA04E7" w:rsidR="00013986" w:rsidRDefault="00DC604B">
      <w:pPr>
        <w:pStyle w:val="TOC2"/>
        <w:tabs>
          <w:tab w:val="right" w:leader="dot" w:pos="9060"/>
        </w:tabs>
        <w:rPr>
          <w:rFonts w:eastAsiaTheme="minorEastAsia" w:cstheme="minorBidi"/>
          <w:smallCaps w:val="0"/>
          <w:noProof/>
          <w:sz w:val="22"/>
          <w:szCs w:val="22"/>
          <w:lang w:eastAsia="en-GB" w:bidi="ar-SA"/>
        </w:rPr>
      </w:pPr>
      <w:hyperlink w:anchor="_Toc71204398" w:history="1">
        <w:r w:rsidR="00013986" w:rsidRPr="00C5055B">
          <w:rPr>
            <w:rStyle w:val="Hyperlink"/>
            <w:noProof/>
          </w:rPr>
          <w:t>Appendix 1: Summary of specific countries’ permissions for irradiated foods</w:t>
        </w:r>
        <w:r w:rsidR="00013986">
          <w:rPr>
            <w:noProof/>
            <w:webHidden/>
          </w:rPr>
          <w:tab/>
        </w:r>
        <w:r w:rsidR="00013986">
          <w:rPr>
            <w:noProof/>
            <w:webHidden/>
          </w:rPr>
          <w:fldChar w:fldCharType="begin"/>
        </w:r>
        <w:r w:rsidR="00013986">
          <w:rPr>
            <w:noProof/>
            <w:webHidden/>
          </w:rPr>
          <w:instrText xml:space="preserve"> PAGEREF _Toc71204398 \h </w:instrText>
        </w:r>
        <w:r w:rsidR="00013986">
          <w:rPr>
            <w:noProof/>
            <w:webHidden/>
          </w:rPr>
        </w:r>
        <w:r w:rsidR="00013986">
          <w:rPr>
            <w:noProof/>
            <w:webHidden/>
          </w:rPr>
          <w:fldChar w:fldCharType="separate"/>
        </w:r>
        <w:r w:rsidR="00013986">
          <w:rPr>
            <w:noProof/>
            <w:webHidden/>
          </w:rPr>
          <w:t>44</w:t>
        </w:r>
        <w:r w:rsidR="00013986">
          <w:rPr>
            <w:noProof/>
            <w:webHidden/>
          </w:rPr>
          <w:fldChar w:fldCharType="end"/>
        </w:r>
      </w:hyperlink>
    </w:p>
    <w:p w14:paraId="3AA87CE1" w14:textId="062773E1" w:rsidR="00013986" w:rsidRDefault="00DC604B">
      <w:pPr>
        <w:pStyle w:val="TOC2"/>
        <w:tabs>
          <w:tab w:val="right" w:leader="dot" w:pos="9060"/>
        </w:tabs>
        <w:rPr>
          <w:rFonts w:eastAsiaTheme="minorEastAsia" w:cstheme="minorBidi"/>
          <w:smallCaps w:val="0"/>
          <w:noProof/>
          <w:sz w:val="22"/>
          <w:szCs w:val="22"/>
          <w:lang w:eastAsia="en-GB" w:bidi="ar-SA"/>
        </w:rPr>
      </w:pPr>
      <w:hyperlink w:anchor="_Toc71204399" w:history="1">
        <w:r w:rsidR="00013986" w:rsidRPr="00C5055B">
          <w:rPr>
            <w:rStyle w:val="Hyperlink"/>
            <w:noProof/>
          </w:rPr>
          <w:t>Appendix 2: Issues raised in submissions and FSANZ response</w:t>
        </w:r>
        <w:r w:rsidR="00013986">
          <w:rPr>
            <w:noProof/>
            <w:webHidden/>
          </w:rPr>
          <w:tab/>
        </w:r>
        <w:r w:rsidR="00013986">
          <w:rPr>
            <w:noProof/>
            <w:webHidden/>
          </w:rPr>
          <w:fldChar w:fldCharType="begin"/>
        </w:r>
        <w:r w:rsidR="00013986">
          <w:rPr>
            <w:noProof/>
            <w:webHidden/>
          </w:rPr>
          <w:instrText xml:space="preserve"> PAGEREF _Toc71204399 \h </w:instrText>
        </w:r>
        <w:r w:rsidR="00013986">
          <w:rPr>
            <w:noProof/>
            <w:webHidden/>
          </w:rPr>
        </w:r>
        <w:r w:rsidR="00013986">
          <w:rPr>
            <w:noProof/>
            <w:webHidden/>
          </w:rPr>
          <w:fldChar w:fldCharType="separate"/>
        </w:r>
        <w:r w:rsidR="00013986">
          <w:rPr>
            <w:noProof/>
            <w:webHidden/>
          </w:rPr>
          <w:t>47</w:t>
        </w:r>
        <w:r w:rsidR="00013986">
          <w:rPr>
            <w:noProof/>
            <w:webHidden/>
          </w:rPr>
          <w:fldChar w:fldCharType="end"/>
        </w:r>
      </w:hyperlink>
    </w:p>
    <w:p w14:paraId="6CCBA9DD" w14:textId="49207F0D" w:rsidR="00013986" w:rsidRDefault="00DC604B">
      <w:pPr>
        <w:pStyle w:val="TOC2"/>
        <w:tabs>
          <w:tab w:val="right" w:leader="dot" w:pos="9060"/>
        </w:tabs>
        <w:rPr>
          <w:rFonts w:eastAsiaTheme="minorEastAsia" w:cstheme="minorBidi"/>
          <w:smallCaps w:val="0"/>
          <w:noProof/>
          <w:sz w:val="22"/>
          <w:szCs w:val="22"/>
          <w:lang w:eastAsia="en-GB" w:bidi="ar-SA"/>
        </w:rPr>
      </w:pPr>
      <w:hyperlink w:anchor="_Toc71204400" w:history="1">
        <w:r w:rsidR="00013986" w:rsidRPr="00C5055B">
          <w:rPr>
            <w:rStyle w:val="Hyperlink"/>
            <w:noProof/>
          </w:rPr>
          <w:t>Appendix 3: Issues raised in the ‘sample letter’ and associated webpages and FSANZ response</w:t>
        </w:r>
        <w:r w:rsidR="00013986">
          <w:rPr>
            <w:noProof/>
            <w:webHidden/>
          </w:rPr>
          <w:tab/>
        </w:r>
        <w:r w:rsidR="00013986">
          <w:rPr>
            <w:noProof/>
            <w:webHidden/>
          </w:rPr>
          <w:fldChar w:fldCharType="begin"/>
        </w:r>
        <w:r w:rsidR="00013986">
          <w:rPr>
            <w:noProof/>
            <w:webHidden/>
          </w:rPr>
          <w:instrText xml:space="preserve"> PAGEREF _Toc71204400 \h </w:instrText>
        </w:r>
        <w:r w:rsidR="00013986">
          <w:rPr>
            <w:noProof/>
            <w:webHidden/>
          </w:rPr>
        </w:r>
        <w:r w:rsidR="00013986">
          <w:rPr>
            <w:noProof/>
            <w:webHidden/>
          </w:rPr>
          <w:fldChar w:fldCharType="separate"/>
        </w:r>
        <w:r w:rsidR="00013986">
          <w:rPr>
            <w:noProof/>
            <w:webHidden/>
          </w:rPr>
          <w:t>47</w:t>
        </w:r>
        <w:r w:rsidR="00013986">
          <w:rPr>
            <w:noProof/>
            <w:webHidden/>
          </w:rPr>
          <w:fldChar w:fldCharType="end"/>
        </w:r>
      </w:hyperlink>
    </w:p>
    <w:p w14:paraId="5C40733A" w14:textId="0EF448AD" w:rsidR="00013986" w:rsidRDefault="00DC604B">
      <w:pPr>
        <w:pStyle w:val="TOC2"/>
        <w:tabs>
          <w:tab w:val="right" w:leader="dot" w:pos="9060"/>
        </w:tabs>
        <w:rPr>
          <w:rFonts w:eastAsiaTheme="minorEastAsia" w:cstheme="minorBidi"/>
          <w:smallCaps w:val="0"/>
          <w:noProof/>
          <w:sz w:val="22"/>
          <w:szCs w:val="22"/>
          <w:lang w:eastAsia="en-GB" w:bidi="ar-SA"/>
        </w:rPr>
      </w:pPr>
      <w:hyperlink w:anchor="_Toc71204401" w:history="1">
        <w:r w:rsidR="00013986" w:rsidRPr="00C5055B">
          <w:rPr>
            <w:rStyle w:val="Hyperlink"/>
            <w:noProof/>
          </w:rPr>
          <w:t>Appendix 4: Food Irradiation Watch/Gene Ethics questions on the application and SD1 and FSANZ response</w:t>
        </w:r>
        <w:r w:rsidR="00013986">
          <w:rPr>
            <w:noProof/>
            <w:webHidden/>
          </w:rPr>
          <w:tab/>
        </w:r>
        <w:r w:rsidR="00013986">
          <w:rPr>
            <w:noProof/>
            <w:webHidden/>
          </w:rPr>
          <w:fldChar w:fldCharType="begin"/>
        </w:r>
        <w:r w:rsidR="00013986">
          <w:rPr>
            <w:noProof/>
            <w:webHidden/>
          </w:rPr>
          <w:instrText xml:space="preserve"> PAGEREF _Toc71204401 \h </w:instrText>
        </w:r>
        <w:r w:rsidR="00013986">
          <w:rPr>
            <w:noProof/>
            <w:webHidden/>
          </w:rPr>
        </w:r>
        <w:r w:rsidR="00013986">
          <w:rPr>
            <w:noProof/>
            <w:webHidden/>
          </w:rPr>
          <w:fldChar w:fldCharType="separate"/>
        </w:r>
        <w:r w:rsidR="00013986">
          <w:rPr>
            <w:noProof/>
            <w:webHidden/>
          </w:rPr>
          <w:t>47</w:t>
        </w:r>
        <w:r w:rsidR="00013986">
          <w:rPr>
            <w:noProof/>
            <w:webHidden/>
          </w:rPr>
          <w:fldChar w:fldCharType="end"/>
        </w:r>
      </w:hyperlink>
    </w:p>
    <w:p w14:paraId="5460EC43" w14:textId="1D3BE062" w:rsidR="006E1544" w:rsidRDefault="00B55714" w:rsidP="00C91C02">
      <w:pPr>
        <w:rPr>
          <w:rFonts w:cs="Arial"/>
          <w:sz w:val="20"/>
          <w:szCs w:val="20"/>
        </w:rPr>
        <w:sectPr w:rsidR="006E1544" w:rsidSect="006E1544">
          <w:pgSz w:w="11906" w:h="16838" w:code="9"/>
          <w:pgMar w:top="1418" w:right="1418" w:bottom="1134" w:left="1418" w:header="709" w:footer="709" w:gutter="0"/>
          <w:cols w:space="708"/>
          <w:docGrid w:linePitch="360"/>
        </w:sectPr>
      </w:pPr>
      <w:r w:rsidRPr="00346622">
        <w:rPr>
          <w:rFonts w:cs="Arial"/>
          <w:sz w:val="20"/>
          <w:szCs w:val="20"/>
        </w:rPr>
        <w:fldChar w:fldCharType="end"/>
      </w:r>
    </w:p>
    <w:p w14:paraId="40CA7033" w14:textId="2BC929DB" w:rsidR="00A671E6" w:rsidRPr="000B427A" w:rsidRDefault="00A671E6" w:rsidP="00A671E6">
      <w:pPr>
        <w:rPr>
          <w:b/>
          <w:bCs/>
        </w:rPr>
      </w:pPr>
      <w:r w:rsidRPr="000B427A">
        <w:rPr>
          <w:b/>
          <w:bCs/>
        </w:rPr>
        <w:lastRenderedPageBreak/>
        <w:t>S</w:t>
      </w:r>
      <w:r w:rsidR="007C22CB" w:rsidRPr="000B427A">
        <w:rPr>
          <w:b/>
          <w:bCs/>
        </w:rPr>
        <w:t>upporting</w:t>
      </w:r>
      <w:r w:rsidR="00224E3B" w:rsidRPr="000B427A">
        <w:rPr>
          <w:b/>
          <w:bCs/>
        </w:rPr>
        <w:t xml:space="preserve"> document</w:t>
      </w:r>
      <w:r w:rsidRPr="000B427A">
        <w:rPr>
          <w:b/>
          <w:bCs/>
        </w:rPr>
        <w:t xml:space="preserve"> </w:t>
      </w:r>
    </w:p>
    <w:p w14:paraId="313F2FF1" w14:textId="77777777" w:rsidR="00A671E6" w:rsidRPr="0089264A" w:rsidRDefault="00A671E6" w:rsidP="00A671E6">
      <w:pPr>
        <w:rPr>
          <w:szCs w:val="22"/>
        </w:rPr>
      </w:pPr>
    </w:p>
    <w:p w14:paraId="601EFB1A" w14:textId="070AC739" w:rsidR="007A53BF" w:rsidRPr="00AC3652" w:rsidRDefault="007A53BF" w:rsidP="007A53BF">
      <w:pPr>
        <w:rPr>
          <w:szCs w:val="22"/>
        </w:rPr>
      </w:pPr>
      <w:r w:rsidRPr="0089264A">
        <w:rPr>
          <w:szCs w:val="22"/>
        </w:rPr>
        <w:t xml:space="preserve">The </w:t>
      </w:r>
      <w:hyperlink r:id="rId19" w:history="1">
        <w:r w:rsidRPr="002C08BC">
          <w:rPr>
            <w:rStyle w:val="Hyperlink"/>
            <w:szCs w:val="22"/>
          </w:rPr>
          <w:t>following document</w:t>
        </w:r>
      </w:hyperlink>
      <w:r w:rsidR="002C08BC">
        <w:rPr>
          <w:rStyle w:val="FootnoteReference"/>
          <w:szCs w:val="22"/>
        </w:rPr>
        <w:footnoteReference w:id="2"/>
      </w:r>
      <w:r w:rsidRPr="002C08BC">
        <w:rPr>
          <w:szCs w:val="22"/>
        </w:rPr>
        <w:t xml:space="preserve"> </w:t>
      </w:r>
      <w:r>
        <w:rPr>
          <w:szCs w:val="22"/>
        </w:rPr>
        <w:t xml:space="preserve">which informed the assessment of </w:t>
      </w:r>
      <w:r w:rsidRPr="002C08BC">
        <w:rPr>
          <w:szCs w:val="22"/>
        </w:rPr>
        <w:t xml:space="preserve">this </w:t>
      </w:r>
      <w:r w:rsidR="002C08BC" w:rsidRPr="002C08BC">
        <w:rPr>
          <w:szCs w:val="22"/>
        </w:rPr>
        <w:t>a</w:t>
      </w:r>
      <w:r w:rsidRPr="002C08BC">
        <w:rPr>
          <w:szCs w:val="22"/>
        </w:rPr>
        <w:t>pplication</w:t>
      </w:r>
      <w:r w:rsidR="002C08BC" w:rsidRPr="002C08BC">
        <w:rPr>
          <w:szCs w:val="22"/>
        </w:rPr>
        <w:t xml:space="preserve"> is </w:t>
      </w:r>
      <w:r w:rsidRPr="0089264A">
        <w:rPr>
          <w:szCs w:val="22"/>
        </w:rPr>
        <w:t xml:space="preserve">available on </w:t>
      </w:r>
      <w:r w:rsidRPr="00AC3652">
        <w:rPr>
          <w:szCs w:val="22"/>
        </w:rPr>
        <w:t>the FSANZ website</w:t>
      </w:r>
      <w:r w:rsidR="00FF3E26" w:rsidRPr="00AC3652">
        <w:rPr>
          <w:szCs w:val="22"/>
        </w:rPr>
        <w:t>:</w:t>
      </w:r>
    </w:p>
    <w:p w14:paraId="1F940A62" w14:textId="77777777" w:rsidR="007A53BF" w:rsidRPr="00AC3652" w:rsidRDefault="007A53BF" w:rsidP="007A53BF">
      <w:pPr>
        <w:rPr>
          <w:szCs w:val="22"/>
        </w:rPr>
      </w:pPr>
    </w:p>
    <w:p w14:paraId="0D5F27B3" w14:textId="2E94D939" w:rsidR="007A53BF" w:rsidRPr="00AC3652" w:rsidRDefault="007A53BF" w:rsidP="007A53BF">
      <w:pPr>
        <w:ind w:left="1134" w:hanging="1134"/>
      </w:pPr>
      <w:r w:rsidRPr="00AC3652">
        <w:t>S</w:t>
      </w:r>
      <w:r w:rsidR="005D0A5C">
        <w:t>upporting document</w:t>
      </w:r>
      <w:r w:rsidR="004977CC">
        <w:t xml:space="preserve"> 1 </w:t>
      </w:r>
      <w:r w:rsidRPr="00AC3652">
        <w:tab/>
      </w:r>
      <w:r w:rsidR="002C08BC" w:rsidRPr="00AC3652">
        <w:t xml:space="preserve">Risk and Technical Assessment Report </w:t>
      </w:r>
      <w:r w:rsidR="006C116D" w:rsidRPr="00AC3652">
        <w:t xml:space="preserve">(at </w:t>
      </w:r>
      <w:r w:rsidR="0035308F">
        <w:t>a</w:t>
      </w:r>
      <w:r w:rsidR="006C116D" w:rsidRPr="00AC3652">
        <w:t>pproval)</w:t>
      </w:r>
    </w:p>
    <w:p w14:paraId="1682A631" w14:textId="77777777" w:rsidR="003C4969" w:rsidRPr="00AC3652" w:rsidRDefault="00D15A08" w:rsidP="009A2699">
      <w:pPr>
        <w:spacing w:line="280" w:lineRule="exact"/>
        <w:ind w:left="851" w:hanging="851"/>
        <w:outlineLvl w:val="3"/>
        <w:rPr>
          <w:vanish/>
        </w:rPr>
      </w:pPr>
      <w:r w:rsidRPr="00AC3652">
        <w:br w:type="page"/>
      </w:r>
    </w:p>
    <w:p w14:paraId="2D2E6711" w14:textId="77777777" w:rsidR="007A53BF" w:rsidRPr="007A53BF" w:rsidRDefault="007A53BF" w:rsidP="00CE59AA">
      <w:pPr>
        <w:pStyle w:val="Heading1"/>
      </w:pPr>
      <w:bookmarkStart w:id="1" w:name="_Toc286391001"/>
      <w:bookmarkStart w:id="2" w:name="_Toc300933414"/>
      <w:bookmarkStart w:id="3" w:name="_Toc370223463"/>
      <w:bookmarkStart w:id="4" w:name="_Toc65149680"/>
      <w:bookmarkStart w:id="5" w:name="_Toc65507064"/>
      <w:bookmarkStart w:id="6" w:name="_Toc65684129"/>
      <w:bookmarkStart w:id="7" w:name="_Toc71204356"/>
      <w:bookmarkStart w:id="8" w:name="_Toc11735627"/>
      <w:bookmarkStart w:id="9" w:name="_Toc29883110"/>
      <w:bookmarkStart w:id="10" w:name="_Toc41906797"/>
      <w:bookmarkStart w:id="11" w:name="_Toc41907544"/>
      <w:bookmarkStart w:id="12" w:name="_Toc120358575"/>
      <w:r w:rsidRPr="007A53BF">
        <w:t>Executive summary</w:t>
      </w:r>
      <w:bookmarkEnd w:id="1"/>
      <w:bookmarkEnd w:id="2"/>
      <w:bookmarkEnd w:id="3"/>
      <w:bookmarkEnd w:id="4"/>
      <w:bookmarkEnd w:id="5"/>
      <w:bookmarkEnd w:id="6"/>
      <w:bookmarkEnd w:id="7"/>
    </w:p>
    <w:p w14:paraId="0A004186" w14:textId="0DE06B36" w:rsidR="00C90E13" w:rsidRDefault="002C08BC" w:rsidP="002C08BC">
      <w:pPr>
        <w:rPr>
          <w:lang w:bidi="ar-SA"/>
        </w:rPr>
      </w:pPr>
      <w:r w:rsidRPr="002C08BC">
        <w:rPr>
          <w:lang w:bidi="ar-SA"/>
        </w:rPr>
        <w:t xml:space="preserve">The Queensland Government Department of Agriculture and Fisheries </w:t>
      </w:r>
      <w:r w:rsidR="00A37185">
        <w:rPr>
          <w:lang w:bidi="ar-SA"/>
        </w:rPr>
        <w:t xml:space="preserve">(the </w:t>
      </w:r>
      <w:r w:rsidR="00F6039D">
        <w:rPr>
          <w:lang w:bidi="ar-SA"/>
        </w:rPr>
        <w:t>a</w:t>
      </w:r>
      <w:r w:rsidR="00A37185">
        <w:rPr>
          <w:lang w:bidi="ar-SA"/>
        </w:rPr>
        <w:t xml:space="preserve">pplicant) </w:t>
      </w:r>
      <w:r w:rsidRPr="002C08BC">
        <w:rPr>
          <w:lang w:bidi="ar-SA"/>
        </w:rPr>
        <w:t xml:space="preserve">submitted an application to Food Standards Australia New Zealand (FSANZ) </w:t>
      </w:r>
      <w:r w:rsidR="00A37185">
        <w:rPr>
          <w:lang w:bidi="ar-SA"/>
        </w:rPr>
        <w:t xml:space="preserve">in November 2019 </w:t>
      </w:r>
      <w:r>
        <w:rPr>
          <w:lang w:bidi="ar-SA"/>
        </w:rPr>
        <w:t>to permit irradiation as a phytosanitary measure (</w:t>
      </w:r>
      <w:r w:rsidR="001E6C78">
        <w:rPr>
          <w:lang w:bidi="ar-SA"/>
        </w:rPr>
        <w:t xml:space="preserve">i.e. </w:t>
      </w:r>
      <w:r>
        <w:rPr>
          <w:lang w:bidi="ar-SA"/>
        </w:rPr>
        <w:t xml:space="preserve">pest disinfestation) for all types of fresh fruit and vegetables. </w:t>
      </w:r>
    </w:p>
    <w:p w14:paraId="531FCC36" w14:textId="77777777" w:rsidR="00C90E13" w:rsidRDefault="00C90E13" w:rsidP="002C08BC">
      <w:pPr>
        <w:rPr>
          <w:lang w:bidi="ar-SA"/>
        </w:rPr>
      </w:pPr>
    </w:p>
    <w:p w14:paraId="15299996" w14:textId="10396BBA" w:rsidR="00BC6D1B" w:rsidRDefault="00A37185" w:rsidP="00C22DD0">
      <w:pPr>
        <w:rPr>
          <w:lang w:bidi="ar-SA"/>
        </w:rPr>
      </w:pPr>
      <w:r>
        <w:rPr>
          <w:lang w:bidi="ar-SA"/>
        </w:rPr>
        <w:t xml:space="preserve">Irradiation is already approved for use on 26 fruits and vegetables </w:t>
      </w:r>
      <w:r w:rsidR="002C08BC">
        <w:rPr>
          <w:lang w:bidi="ar-SA"/>
        </w:rPr>
        <w:t xml:space="preserve">in Standard 1.5.3 of the </w:t>
      </w:r>
      <w:r w:rsidR="002C08BC" w:rsidRPr="00C226BA">
        <w:rPr>
          <w:i/>
          <w:lang w:bidi="ar-SA"/>
        </w:rPr>
        <w:t>Australia New Zealand Food Standards Code</w:t>
      </w:r>
      <w:r w:rsidR="002C08BC">
        <w:rPr>
          <w:lang w:bidi="ar-SA"/>
        </w:rPr>
        <w:t xml:space="preserve"> (the Code). </w:t>
      </w:r>
      <w:r>
        <w:rPr>
          <w:lang w:bidi="ar-SA"/>
        </w:rPr>
        <w:t xml:space="preserve">It has been approved for use in Australia and New Zealand for 20 years and internationally since the 1950s. Its use is endorsed by two </w:t>
      </w:r>
      <w:r w:rsidRPr="00B4455A">
        <w:rPr>
          <w:lang w:bidi="ar-SA"/>
        </w:rPr>
        <w:t>internationally recognised standards-setting agencies for human and plant health</w:t>
      </w:r>
      <w:r>
        <w:rPr>
          <w:lang w:bidi="ar-SA"/>
        </w:rPr>
        <w:t xml:space="preserve"> – </w:t>
      </w:r>
      <w:r w:rsidRPr="00B4455A">
        <w:rPr>
          <w:lang w:bidi="ar-SA"/>
        </w:rPr>
        <w:t>Codex Alimentarius (Codex) and the International Plant Protection Convention (IPPC)</w:t>
      </w:r>
      <w:r>
        <w:rPr>
          <w:lang w:bidi="ar-SA"/>
        </w:rPr>
        <w:t xml:space="preserve"> – and supported by r</w:t>
      </w:r>
      <w:r w:rsidRPr="00AE488A">
        <w:rPr>
          <w:lang w:bidi="ar-SA"/>
        </w:rPr>
        <w:t>elevant quarantine agencies in Australia and New Zealand</w:t>
      </w:r>
      <w:r>
        <w:rPr>
          <w:lang w:bidi="ar-SA"/>
        </w:rPr>
        <w:t xml:space="preserve">. </w:t>
      </w:r>
    </w:p>
    <w:p w14:paraId="496011EF" w14:textId="15170271" w:rsidR="00674632" w:rsidRDefault="00674632" w:rsidP="002C08BC">
      <w:pPr>
        <w:rPr>
          <w:lang w:bidi="ar-SA"/>
        </w:rPr>
      </w:pPr>
    </w:p>
    <w:p w14:paraId="3953860F" w14:textId="2986135D" w:rsidR="00BC6D1B" w:rsidRDefault="00A37185" w:rsidP="00BC6D1B">
      <w:r>
        <w:rPr>
          <w:lang w:bidi="ar-SA"/>
        </w:rPr>
        <w:t xml:space="preserve">This approval extends current permissions to cover all types of fruit and vegetables. Irradiation is one of a range of treatments used on food to stop the spread of regulated pests between </w:t>
      </w:r>
      <w:r w:rsidR="009F58BE">
        <w:rPr>
          <w:lang w:bidi="ar-SA"/>
        </w:rPr>
        <w:t xml:space="preserve">quarantine zones in </w:t>
      </w:r>
      <w:r w:rsidR="002256B1" w:rsidRPr="001C3722">
        <w:t>Australia and New Zealand.</w:t>
      </w:r>
      <w:r w:rsidR="002256B1">
        <w:t xml:space="preserve"> </w:t>
      </w:r>
      <w:r w:rsidR="00BC6D1B">
        <w:t xml:space="preserve">Most fresh produce in Australia and New Zealand is grown and consumed within the same quarantine </w:t>
      </w:r>
      <w:r w:rsidR="009F58BE">
        <w:t xml:space="preserve">zone </w:t>
      </w:r>
      <w:r w:rsidR="00BC6D1B">
        <w:t xml:space="preserve">and is not subject to any pest disinfestation. </w:t>
      </w:r>
      <w:r w:rsidR="00832D4E">
        <w:t>Despite this extension to the existing permissions, it is expected that o</w:t>
      </w:r>
      <w:r w:rsidR="00BC6D1B">
        <w:t xml:space="preserve">nly a small proportion of </w:t>
      </w:r>
      <w:r w:rsidR="00BC6D1B" w:rsidRPr="004F6A9C">
        <w:t xml:space="preserve">domestically produced and imported </w:t>
      </w:r>
      <w:r w:rsidR="00BC6D1B">
        <w:t>produce</w:t>
      </w:r>
      <w:r w:rsidR="009F58BE">
        <w:t xml:space="preserve"> </w:t>
      </w:r>
      <w:r w:rsidR="00832D4E">
        <w:t>will be</w:t>
      </w:r>
      <w:r w:rsidR="009F58BE">
        <w:t xml:space="preserve"> irradiated</w:t>
      </w:r>
      <w:r w:rsidR="000365D2">
        <w:t>.</w:t>
      </w:r>
      <w:r w:rsidR="009F58BE" w:rsidDel="009F58BE">
        <w:t xml:space="preserve"> </w:t>
      </w:r>
      <w:r w:rsidR="00832D4E">
        <w:t>For example, irradiation will be used as an alternative when other phytosanitary methods are not effective or if another traditional treatment is suspended. The Queensland Department of Agriculture and Fisheries has provided conservative estimates that between 0.3 – 8% of total fruit and vegetables consumed in Australia and New Zealand might be irradiated. Mandatory labelling requirements for irradiated foods will apply.</w:t>
      </w:r>
    </w:p>
    <w:p w14:paraId="4A6C8E36" w14:textId="677B5E76" w:rsidR="00BC6D1B" w:rsidRDefault="00BC6D1B" w:rsidP="00BC6D1B"/>
    <w:p w14:paraId="2BFE44A5" w14:textId="51A0AB88" w:rsidR="009F58BE" w:rsidRDefault="009E12C7" w:rsidP="009F58BE">
      <w:pPr>
        <w:rPr>
          <w:lang w:bidi="ar-SA"/>
        </w:rPr>
      </w:pPr>
      <w:r>
        <w:rPr>
          <w:lang w:bidi="ar-SA"/>
        </w:rPr>
        <w:t xml:space="preserve">As part of the risk and technical assessment, </w:t>
      </w:r>
      <w:r w:rsidR="009F58BE">
        <w:rPr>
          <w:lang w:bidi="ar-SA"/>
        </w:rPr>
        <w:t xml:space="preserve">FSANZ undertook a comprehensive review of the available evidence which demonstrates </w:t>
      </w:r>
      <w:r w:rsidR="00BC6D1B">
        <w:rPr>
          <w:lang w:bidi="ar-SA"/>
        </w:rPr>
        <w:t>that</w:t>
      </w:r>
      <w:r w:rsidR="009F58BE">
        <w:rPr>
          <w:lang w:bidi="ar-SA"/>
        </w:rPr>
        <w:t>:</w:t>
      </w:r>
    </w:p>
    <w:p w14:paraId="549C3473" w14:textId="77777777" w:rsidR="009F58BE" w:rsidRDefault="009F58BE" w:rsidP="009F58BE">
      <w:pPr>
        <w:pStyle w:val="ListParagraph"/>
        <w:numPr>
          <w:ilvl w:val="0"/>
          <w:numId w:val="22"/>
        </w:numPr>
        <w:rPr>
          <w:lang w:bidi="ar-SA"/>
        </w:rPr>
      </w:pPr>
      <w:r>
        <w:rPr>
          <w:lang w:bidi="ar-SA"/>
        </w:rPr>
        <w:t xml:space="preserve">irradiation is </w:t>
      </w:r>
      <w:r w:rsidRPr="00AE488A">
        <w:rPr>
          <w:lang w:bidi="ar-SA"/>
        </w:rPr>
        <w:t xml:space="preserve">an appropriate and effective </w:t>
      </w:r>
      <w:r>
        <w:rPr>
          <w:lang w:bidi="ar-SA"/>
        </w:rPr>
        <w:t xml:space="preserve">treatment </w:t>
      </w:r>
      <w:r w:rsidRPr="00AE488A">
        <w:rPr>
          <w:lang w:bidi="ar-SA"/>
        </w:rPr>
        <w:t xml:space="preserve">for </w:t>
      </w:r>
      <w:r>
        <w:rPr>
          <w:lang w:bidi="ar-SA"/>
        </w:rPr>
        <w:t xml:space="preserve">regulated </w:t>
      </w:r>
      <w:r w:rsidRPr="00AE488A">
        <w:rPr>
          <w:lang w:bidi="ar-SA"/>
        </w:rPr>
        <w:t>pests, including fruit fly</w:t>
      </w:r>
      <w:r>
        <w:rPr>
          <w:lang w:bidi="ar-SA"/>
        </w:rPr>
        <w:t>, at the proposed dose range</w:t>
      </w:r>
    </w:p>
    <w:p w14:paraId="0794F6B3" w14:textId="77777777" w:rsidR="009F58BE" w:rsidRDefault="009F58BE" w:rsidP="009F58BE">
      <w:pPr>
        <w:pStyle w:val="ListParagraph"/>
        <w:numPr>
          <w:ilvl w:val="0"/>
          <w:numId w:val="22"/>
        </w:numPr>
        <w:rPr>
          <w:lang w:bidi="ar-SA"/>
        </w:rPr>
      </w:pPr>
      <w:r>
        <w:rPr>
          <w:lang w:bidi="ar-SA"/>
        </w:rPr>
        <w:t>the use of irradiation as a treatment for pest disinfestation is technologically justified and effective in fulfilling its stated purpose</w:t>
      </w:r>
    </w:p>
    <w:p w14:paraId="78C8D91C" w14:textId="4C5BBB53" w:rsidR="009F58BE" w:rsidRPr="009E12C7" w:rsidRDefault="009F58BE" w:rsidP="009F58BE">
      <w:pPr>
        <w:pStyle w:val="ListParagraph"/>
        <w:numPr>
          <w:ilvl w:val="0"/>
          <w:numId w:val="22"/>
        </w:numPr>
        <w:rPr>
          <w:lang w:bidi="ar-SA"/>
        </w:rPr>
      </w:pPr>
      <w:r w:rsidRPr="009E12C7">
        <w:rPr>
          <w:lang w:bidi="ar-SA"/>
        </w:rPr>
        <w:t>there are no public health and safety concerns associated with the consumption of fresh fruit and vegetables that have been irradiated at dose</w:t>
      </w:r>
      <w:r w:rsidR="009E12C7" w:rsidRPr="009E12C7">
        <w:rPr>
          <w:lang w:bidi="ar-SA"/>
        </w:rPr>
        <w:t>s of up to 1 kiloGray (kGy)</w:t>
      </w:r>
      <w:r w:rsidRPr="009E12C7">
        <w:rPr>
          <w:lang w:bidi="ar-SA"/>
        </w:rPr>
        <w:t>.</w:t>
      </w:r>
    </w:p>
    <w:p w14:paraId="02FA14EA" w14:textId="77777777" w:rsidR="000102AC" w:rsidRDefault="000102AC" w:rsidP="00BC6D1B">
      <w:pPr>
        <w:rPr>
          <w:lang w:bidi="ar-SA"/>
        </w:rPr>
      </w:pPr>
    </w:p>
    <w:p w14:paraId="1114176A" w14:textId="234E03F2" w:rsidR="00BC6D1B" w:rsidRPr="007A4546" w:rsidRDefault="009F58BE" w:rsidP="00BC6D1B">
      <w:pPr>
        <w:rPr>
          <w:lang w:bidi="ar-SA"/>
        </w:rPr>
      </w:pPr>
      <w:r w:rsidRPr="009E12C7">
        <w:rPr>
          <w:lang w:bidi="ar-SA"/>
        </w:rPr>
        <w:t xml:space="preserve">The </w:t>
      </w:r>
      <w:r w:rsidR="00BC6D1B" w:rsidRPr="009E12C7">
        <w:rPr>
          <w:lang w:bidi="ar-SA"/>
        </w:rPr>
        <w:t xml:space="preserve">toxicological assessment concluded that </w:t>
      </w:r>
      <w:r w:rsidRPr="009E12C7">
        <w:rPr>
          <w:lang w:bidi="ar-SA"/>
        </w:rPr>
        <w:t xml:space="preserve">based on the </w:t>
      </w:r>
      <w:r w:rsidR="00BC6D1B" w:rsidRPr="009E12C7">
        <w:rPr>
          <w:lang w:bidi="ar-SA"/>
        </w:rPr>
        <w:t>available evidence there are no safety concerns with the consumption of fresh fruit and vegetables that have been irradiated</w:t>
      </w:r>
      <w:r w:rsidR="00BC6D1B" w:rsidRPr="00FC703E">
        <w:rPr>
          <w:lang w:bidi="ar-SA"/>
        </w:rPr>
        <w:t xml:space="preserve"> </w:t>
      </w:r>
      <w:r w:rsidR="00162732">
        <w:rPr>
          <w:lang w:bidi="ar-SA"/>
        </w:rPr>
        <w:t>at</w:t>
      </w:r>
      <w:r w:rsidR="00BC6D1B" w:rsidRPr="00FC703E">
        <w:rPr>
          <w:lang w:bidi="ar-SA"/>
        </w:rPr>
        <w:t xml:space="preserve"> doses of up to 1 kGy. </w:t>
      </w:r>
      <w:r w:rsidR="00BC6D1B">
        <w:rPr>
          <w:lang w:bidi="ar-SA"/>
        </w:rPr>
        <w:t>Radiolytic compounds</w:t>
      </w:r>
      <w:r w:rsidR="00BC6D1B" w:rsidRPr="007A4546">
        <w:rPr>
          <w:lang w:bidi="ar-SA"/>
        </w:rPr>
        <w:t xml:space="preserve"> </w:t>
      </w:r>
      <w:r w:rsidR="00BC6D1B">
        <w:rPr>
          <w:lang w:bidi="ar-SA"/>
        </w:rPr>
        <w:t xml:space="preserve">generated </w:t>
      </w:r>
      <w:r w:rsidR="00BC6D1B" w:rsidRPr="007A4546">
        <w:rPr>
          <w:lang w:bidi="ar-SA"/>
        </w:rPr>
        <w:t xml:space="preserve">through food irradiation </w:t>
      </w:r>
      <w:r w:rsidR="00BC6D1B" w:rsidRPr="00FC703E">
        <w:rPr>
          <w:lang w:bidi="ar-SA"/>
        </w:rPr>
        <w:t xml:space="preserve">are </w:t>
      </w:r>
      <w:r w:rsidR="00DE539D">
        <w:rPr>
          <w:lang w:bidi="ar-SA"/>
        </w:rPr>
        <w:t xml:space="preserve">at levels </w:t>
      </w:r>
      <w:r w:rsidR="00BC6D1B" w:rsidRPr="00FC703E">
        <w:rPr>
          <w:lang w:bidi="ar-SA"/>
        </w:rPr>
        <w:t>generally comparable to those naturally present in cooked food</w:t>
      </w:r>
      <w:r>
        <w:rPr>
          <w:lang w:bidi="ar-SA"/>
        </w:rPr>
        <w:t xml:space="preserve"> and are not</w:t>
      </w:r>
      <w:r w:rsidRPr="00FC703E">
        <w:rPr>
          <w:lang w:bidi="ar-SA"/>
        </w:rPr>
        <w:t xml:space="preserve"> likely to result in harm</w:t>
      </w:r>
      <w:r w:rsidR="00BC6D1B" w:rsidRPr="00FC703E">
        <w:rPr>
          <w:lang w:bidi="ar-SA"/>
        </w:rPr>
        <w:t>.</w:t>
      </w:r>
      <w:r w:rsidR="00BC6D1B" w:rsidRPr="007A4546">
        <w:rPr>
          <w:lang w:bidi="ar-SA"/>
        </w:rPr>
        <w:t xml:space="preserve"> Further, </w:t>
      </w:r>
      <w:r w:rsidR="00BC6D1B" w:rsidRPr="00FD7EAE">
        <w:rPr>
          <w:lang w:bidi="ar-SA"/>
        </w:rPr>
        <w:t xml:space="preserve">there is </w:t>
      </w:r>
      <w:r w:rsidR="00FD7EAE" w:rsidRPr="00FD7EAE">
        <w:rPr>
          <w:lang w:bidi="ar-SA"/>
        </w:rPr>
        <w:t>no</w:t>
      </w:r>
      <w:r w:rsidR="00BC6D1B" w:rsidRPr="00FD7EAE">
        <w:rPr>
          <w:lang w:bidi="ar-SA"/>
        </w:rPr>
        <w:t xml:space="preserve"> evidence that phytosanitary irradiation of fruit and vegetables at the</w:t>
      </w:r>
      <w:r w:rsidR="00BC6D1B">
        <w:rPr>
          <w:lang w:bidi="ar-SA"/>
        </w:rPr>
        <w:t xml:space="preserve"> proposed doses </w:t>
      </w:r>
      <w:r w:rsidR="00BC6D1B" w:rsidRPr="007A4546">
        <w:rPr>
          <w:lang w:bidi="ar-SA"/>
        </w:rPr>
        <w:t>would increase the toxicity of any mycotoxin contamination, or increase the allergenicity of the produce</w:t>
      </w:r>
      <w:r w:rsidR="0062085C">
        <w:rPr>
          <w:lang w:bidi="ar-SA"/>
        </w:rPr>
        <w:t>,</w:t>
      </w:r>
      <w:r w:rsidR="00FD7EAE" w:rsidRPr="00FD7EAE">
        <w:t xml:space="preserve"> </w:t>
      </w:r>
      <w:r w:rsidR="00FD7EAE">
        <w:t>or result in additional dietary exposure to furan</w:t>
      </w:r>
      <w:r w:rsidR="00BC6D1B" w:rsidRPr="007A4546">
        <w:rPr>
          <w:lang w:bidi="ar-SA"/>
        </w:rPr>
        <w:t>.</w:t>
      </w:r>
    </w:p>
    <w:p w14:paraId="4AD2E7D8" w14:textId="77777777" w:rsidR="00BC6D1B" w:rsidRPr="00FC618F" w:rsidRDefault="00BC6D1B" w:rsidP="00BC6D1B">
      <w:pPr>
        <w:rPr>
          <w:lang w:bidi="ar-SA"/>
        </w:rPr>
      </w:pPr>
    </w:p>
    <w:p w14:paraId="0D1EDACE" w14:textId="046822A7" w:rsidR="00014772" w:rsidRPr="007A6E83" w:rsidRDefault="009F58BE" w:rsidP="00124BBD">
      <w:r>
        <w:rPr>
          <w:szCs w:val="20"/>
          <w:lang w:bidi="ar-SA"/>
        </w:rPr>
        <w:t>The</w:t>
      </w:r>
      <w:r w:rsidRPr="007A6E83">
        <w:t xml:space="preserve"> </w:t>
      </w:r>
      <w:r w:rsidR="00413CC9" w:rsidRPr="007A6E83">
        <w:t xml:space="preserve">nutrition risk assessment </w:t>
      </w:r>
      <w:r w:rsidR="00413CC9" w:rsidRPr="00413CC9">
        <w:rPr>
          <w:szCs w:val="20"/>
        </w:rPr>
        <w:t xml:space="preserve">concluded </w:t>
      </w:r>
      <w:r w:rsidR="00413CC9" w:rsidRPr="007A6E83">
        <w:t>that, based on the available</w:t>
      </w:r>
      <w:r w:rsidR="00413CC9" w:rsidRPr="00413CC9">
        <w:rPr>
          <w:szCs w:val="20"/>
        </w:rPr>
        <w:t xml:space="preserve"> </w:t>
      </w:r>
      <w:r w:rsidR="00413CC9" w:rsidRPr="007A6E83">
        <w:t>evidence,</w:t>
      </w:r>
      <w:r w:rsidR="001C55E1">
        <w:t xml:space="preserve"> the effect of</w:t>
      </w:r>
      <w:r w:rsidR="00413CC9" w:rsidRPr="007A6E83">
        <w:t xml:space="preserve"> irradiation </w:t>
      </w:r>
      <w:r w:rsidR="00413CC9" w:rsidRPr="00413CC9">
        <w:rPr>
          <w:szCs w:val="20"/>
        </w:rPr>
        <w:t xml:space="preserve">on </w:t>
      </w:r>
      <w:r w:rsidR="001C55E1">
        <w:rPr>
          <w:szCs w:val="20"/>
        </w:rPr>
        <w:t xml:space="preserve">the </w:t>
      </w:r>
      <w:r w:rsidR="00413CC9" w:rsidRPr="007A6E83">
        <w:t xml:space="preserve">micronutrient intake </w:t>
      </w:r>
      <w:r w:rsidR="001C55E1">
        <w:t xml:space="preserve">across the Australian and New Zealand populations </w:t>
      </w:r>
      <w:r w:rsidR="00413CC9" w:rsidRPr="007A6E83">
        <w:t>from fruit and vegetables</w:t>
      </w:r>
      <w:r w:rsidR="001C55E1">
        <w:t xml:space="preserve"> is minimal</w:t>
      </w:r>
      <w:r w:rsidR="00FB5BB2" w:rsidRPr="007A6E83">
        <w:t>.</w:t>
      </w:r>
      <w:r w:rsidR="00E71D64">
        <w:t xml:space="preserve"> </w:t>
      </w:r>
      <w:r w:rsidR="00B52BEB">
        <w:t xml:space="preserve">The </w:t>
      </w:r>
      <w:r w:rsidR="00B52BEB" w:rsidRPr="007A6E83" w:rsidDel="001C55E1">
        <w:t xml:space="preserve">nutrition </w:t>
      </w:r>
      <w:r w:rsidR="00B52BEB" w:rsidRPr="007A6E83">
        <w:t>risk assessment</w:t>
      </w:r>
      <w:r w:rsidR="00B52BEB">
        <w:t xml:space="preserve"> was based on, among other things, </w:t>
      </w:r>
      <w:r w:rsidR="00B52BEB" w:rsidRPr="007A6E83">
        <w:t>nutrient impact data</w:t>
      </w:r>
      <w:r w:rsidR="00B52BEB">
        <w:t xml:space="preserve"> covering the most</w:t>
      </w:r>
      <w:r w:rsidR="00B52BEB" w:rsidRPr="007A6E83">
        <w:t xml:space="preserve"> commonly consumed </w:t>
      </w:r>
      <w:r w:rsidR="00B52BEB">
        <w:t>fruit and vegetable</w:t>
      </w:r>
      <w:r w:rsidR="001C55E1">
        <w:t xml:space="preserve">s </w:t>
      </w:r>
      <w:r w:rsidR="00B52BEB">
        <w:t>as well as those that provide the largest proportion of dietary intake</w:t>
      </w:r>
      <w:r w:rsidR="00B52BEB" w:rsidRPr="007A6E83" w:rsidDel="001C55E1">
        <w:t xml:space="preserve"> from fruits and vegetables</w:t>
      </w:r>
      <w:r w:rsidR="00B52BEB">
        <w:t xml:space="preserve"> for the Australia</w:t>
      </w:r>
      <w:r w:rsidR="00E25AF1">
        <w:t>n and New Zealand populations</w:t>
      </w:r>
      <w:r w:rsidR="00DF3726" w:rsidRPr="007A6E83">
        <w:t xml:space="preserve">. </w:t>
      </w:r>
      <w:r w:rsidR="00413CC9">
        <w:t>S</w:t>
      </w:r>
      <w:r w:rsidR="001E3E8F" w:rsidRPr="007A6E83">
        <w:t>ome variability and higher losses in nutrient con</w:t>
      </w:r>
      <w:r w:rsidR="00124BBD" w:rsidRPr="007A6E83">
        <w:t xml:space="preserve">tent </w:t>
      </w:r>
      <w:r w:rsidR="00B52BEB">
        <w:t xml:space="preserve">due to irradiation </w:t>
      </w:r>
      <w:r w:rsidR="00124BBD" w:rsidRPr="007A6E83">
        <w:t xml:space="preserve">were observed in a </w:t>
      </w:r>
      <w:r w:rsidR="00B52BEB">
        <w:t xml:space="preserve">small number of commodities. </w:t>
      </w:r>
      <w:r w:rsidR="001C55E1">
        <w:t>These</w:t>
      </w:r>
      <w:r w:rsidR="00B52BEB">
        <w:t xml:space="preserve"> commodities contribute only a small amount to total dietary intake. Moreover, </w:t>
      </w:r>
      <w:r w:rsidR="00021C03">
        <w:t xml:space="preserve">as outlined above, </w:t>
      </w:r>
      <w:r w:rsidR="00B52BEB">
        <w:t xml:space="preserve">only a small proportion of fruit and vegetables in Australia and New Zealand will be </w:t>
      </w:r>
      <w:r w:rsidR="0087696F">
        <w:t>irradiated</w:t>
      </w:r>
      <w:r w:rsidR="00B52BEB">
        <w:t xml:space="preserve">. </w:t>
      </w:r>
    </w:p>
    <w:p w14:paraId="09F84ECA" w14:textId="4DA23942" w:rsidR="00BC6D1B" w:rsidRDefault="00BC6D1B" w:rsidP="007A6E83">
      <w:pPr>
        <w:pStyle w:val="FSBullet1"/>
        <w:numPr>
          <w:ilvl w:val="0"/>
          <w:numId w:val="0"/>
        </w:numPr>
        <w:ind w:right="-286"/>
      </w:pPr>
    </w:p>
    <w:p w14:paraId="31822E70" w14:textId="37413CA5" w:rsidR="00425000" w:rsidRDefault="001C55E1" w:rsidP="00BC6D1B">
      <w:pPr>
        <w:rPr>
          <w:lang w:bidi="ar-SA"/>
        </w:rPr>
      </w:pPr>
      <w:r>
        <w:rPr>
          <w:lang w:bidi="ar-SA"/>
        </w:rPr>
        <w:t xml:space="preserve">FSANZ received </w:t>
      </w:r>
      <w:r w:rsidR="00880CB6" w:rsidRPr="00880CB6">
        <w:rPr>
          <w:lang w:bidi="ar-SA"/>
        </w:rPr>
        <w:t xml:space="preserve">480 </w:t>
      </w:r>
      <w:r w:rsidR="002E7B32">
        <w:rPr>
          <w:lang w:bidi="ar-SA"/>
        </w:rPr>
        <w:t xml:space="preserve">eligible </w:t>
      </w:r>
      <w:r w:rsidR="00BC6D1B">
        <w:rPr>
          <w:lang w:bidi="ar-SA"/>
        </w:rPr>
        <w:t xml:space="preserve">submissions </w:t>
      </w:r>
      <w:r>
        <w:rPr>
          <w:lang w:bidi="ar-SA"/>
        </w:rPr>
        <w:t xml:space="preserve">in response to its public call for comment. </w:t>
      </w:r>
      <w:r w:rsidR="00880CB6">
        <w:rPr>
          <w:lang w:bidi="ar-SA"/>
        </w:rPr>
        <w:t xml:space="preserve">Of these, 456 were unsupportive and 24 were supportive of the application. </w:t>
      </w:r>
    </w:p>
    <w:p w14:paraId="11FAFC07" w14:textId="738C0D6C" w:rsidR="00621403" w:rsidRDefault="00621403" w:rsidP="00BC6D1B">
      <w:pPr>
        <w:rPr>
          <w:lang w:bidi="ar-SA"/>
        </w:rPr>
      </w:pPr>
    </w:p>
    <w:p w14:paraId="5EEBE5E3" w14:textId="4766436D" w:rsidR="001C55E1" w:rsidRDefault="001C55E1" w:rsidP="00BC6D1B">
      <w:pPr>
        <w:rPr>
          <w:lang w:bidi="ar-SA"/>
        </w:rPr>
      </w:pPr>
      <w:r>
        <w:rPr>
          <w:lang w:bidi="ar-SA"/>
        </w:rPr>
        <w:t xml:space="preserve">Key issues raised by submitters related to the technological need to irradiate foods, the safety and nutritional quality of irradiated food and labelling of irradiated foods. FSANZ assessed and considered each individual </w:t>
      </w:r>
      <w:r>
        <w:rPr>
          <w:lang w:bidi="ar-SA"/>
        </w:rPr>
        <w:lastRenderedPageBreak/>
        <w:t xml:space="preserve">submission and the issues raised – these are addressed in full at </w:t>
      </w:r>
      <w:r w:rsidR="00DE539D">
        <w:rPr>
          <w:lang w:bidi="ar-SA"/>
        </w:rPr>
        <w:t>Section 2.2</w:t>
      </w:r>
      <w:r>
        <w:rPr>
          <w:lang w:bidi="ar-SA"/>
        </w:rPr>
        <w:t xml:space="preserve"> and </w:t>
      </w:r>
      <w:r w:rsidR="00C14023">
        <w:rPr>
          <w:lang w:bidi="ar-SA"/>
        </w:rPr>
        <w:fldChar w:fldCharType="begin"/>
      </w:r>
      <w:r w:rsidR="00C14023">
        <w:rPr>
          <w:lang w:bidi="ar-SA"/>
        </w:rPr>
        <w:instrText xml:space="preserve"> REF _Ref65681610 \h </w:instrText>
      </w:r>
      <w:r w:rsidR="00C14023">
        <w:rPr>
          <w:lang w:bidi="ar-SA"/>
        </w:rPr>
      </w:r>
      <w:r w:rsidR="00C14023">
        <w:rPr>
          <w:lang w:bidi="ar-SA"/>
        </w:rPr>
        <w:fldChar w:fldCharType="separate"/>
      </w:r>
      <w:r w:rsidR="00C14023">
        <w:t xml:space="preserve">Appendix </w:t>
      </w:r>
      <w:r w:rsidR="00C14023">
        <w:rPr>
          <w:noProof/>
        </w:rPr>
        <w:t>2</w:t>
      </w:r>
      <w:r w:rsidR="00C14023">
        <w:rPr>
          <w:lang w:bidi="ar-SA"/>
        </w:rPr>
        <w:fldChar w:fldCharType="end"/>
      </w:r>
      <w:r>
        <w:rPr>
          <w:lang w:bidi="ar-SA"/>
        </w:rPr>
        <w:t xml:space="preserve">. </w:t>
      </w:r>
    </w:p>
    <w:p w14:paraId="761DBAD8" w14:textId="12E5A67E" w:rsidR="00584346" w:rsidRDefault="00584346" w:rsidP="00BC6D1B">
      <w:pPr>
        <w:rPr>
          <w:szCs w:val="22"/>
        </w:rPr>
      </w:pPr>
    </w:p>
    <w:p w14:paraId="40595AFD" w14:textId="3DC4E2F5" w:rsidR="00621403" w:rsidRPr="00006CBF" w:rsidRDefault="00584346" w:rsidP="00BC6D1B">
      <w:pPr>
        <w:rPr>
          <w:lang w:bidi="ar-SA"/>
        </w:rPr>
      </w:pPr>
      <w:r>
        <w:rPr>
          <w:szCs w:val="22"/>
        </w:rPr>
        <w:t>After careful consideration of submissions and</w:t>
      </w:r>
      <w:r w:rsidR="006F08E5">
        <w:rPr>
          <w:szCs w:val="22"/>
        </w:rPr>
        <w:t xml:space="preserve"> </w:t>
      </w:r>
      <w:r w:rsidR="00E71D64">
        <w:rPr>
          <w:szCs w:val="22"/>
        </w:rPr>
        <w:t xml:space="preserve">based on the </w:t>
      </w:r>
      <w:r w:rsidDel="00FA05F0">
        <w:rPr>
          <w:szCs w:val="22"/>
        </w:rPr>
        <w:t xml:space="preserve">available </w:t>
      </w:r>
      <w:r>
        <w:rPr>
          <w:szCs w:val="22"/>
        </w:rPr>
        <w:t>evidence (including additional risk assessments)</w:t>
      </w:r>
      <w:r w:rsidR="006F08E5">
        <w:rPr>
          <w:szCs w:val="22"/>
        </w:rPr>
        <w:t xml:space="preserve">, </w:t>
      </w:r>
      <w:r>
        <w:rPr>
          <w:szCs w:val="22"/>
        </w:rPr>
        <w:t>FSANZ</w:t>
      </w:r>
      <w:r w:rsidR="00FC5C79">
        <w:rPr>
          <w:szCs w:val="22"/>
        </w:rPr>
        <w:t>’s</w:t>
      </w:r>
      <w:r>
        <w:rPr>
          <w:szCs w:val="22"/>
        </w:rPr>
        <w:t xml:space="preserve"> risk assessment </w:t>
      </w:r>
      <w:r w:rsidR="00CA0503">
        <w:rPr>
          <w:szCs w:val="22"/>
        </w:rPr>
        <w:t xml:space="preserve">conclusion </w:t>
      </w:r>
      <w:r>
        <w:rPr>
          <w:szCs w:val="22"/>
        </w:rPr>
        <w:t>and risk management response remained unchanged</w:t>
      </w:r>
      <w:r w:rsidR="001C55E1">
        <w:rPr>
          <w:szCs w:val="22"/>
        </w:rPr>
        <w:t xml:space="preserve"> – irradiation of </w:t>
      </w:r>
      <w:r w:rsidR="00021C03">
        <w:rPr>
          <w:szCs w:val="22"/>
        </w:rPr>
        <w:t xml:space="preserve">fresh </w:t>
      </w:r>
      <w:r w:rsidR="001C55E1">
        <w:rPr>
          <w:szCs w:val="22"/>
        </w:rPr>
        <w:t>fruit and vegetables as a phytosanitary measure at the proposed levels, is safe and suitable</w:t>
      </w:r>
      <w:r>
        <w:rPr>
          <w:szCs w:val="22"/>
        </w:rPr>
        <w:t xml:space="preserve">. </w:t>
      </w:r>
    </w:p>
    <w:p w14:paraId="1421FA34" w14:textId="74A9AB4E" w:rsidR="00BC6D1B" w:rsidRDefault="00BC6D1B" w:rsidP="00BC6D1B">
      <w:pPr>
        <w:rPr>
          <w:lang w:bidi="ar-SA"/>
        </w:rPr>
      </w:pPr>
    </w:p>
    <w:p w14:paraId="02E3C796" w14:textId="5A72716A" w:rsidR="00BC6D1B" w:rsidRDefault="004E5ABC" w:rsidP="00BC6D1B">
      <w:r>
        <w:rPr>
          <w:lang w:eastAsia="en-GB"/>
        </w:rPr>
        <w:t>For the reasons summarised in this report,</w:t>
      </w:r>
      <w:r w:rsidR="00BC6D1B" w:rsidRPr="00C655BA">
        <w:rPr>
          <w:lang w:eastAsia="en-GB"/>
        </w:rPr>
        <w:t xml:space="preserve"> FSANZ approved </w:t>
      </w:r>
      <w:r>
        <w:rPr>
          <w:lang w:eastAsia="en-GB"/>
        </w:rPr>
        <w:t xml:space="preserve">the </w:t>
      </w:r>
      <w:r w:rsidR="00BC6D1B" w:rsidRPr="00C655BA">
        <w:rPr>
          <w:lang w:eastAsia="en-GB"/>
        </w:rPr>
        <w:t>draft variation to the Code,</w:t>
      </w:r>
      <w:r w:rsidRPr="00C655BA">
        <w:rPr>
          <w:lang w:eastAsia="en-GB"/>
        </w:rPr>
        <w:t xml:space="preserve"> </w:t>
      </w:r>
      <w:r w:rsidRPr="004E5ABC">
        <w:rPr>
          <w:lang w:eastAsia="en-GB"/>
        </w:rPr>
        <w:t>with one minor amendment</w:t>
      </w:r>
      <w:r w:rsidR="00905065">
        <w:rPr>
          <w:lang w:eastAsia="en-GB"/>
        </w:rPr>
        <w:t xml:space="preserve"> (see Section 1.7 of this report</w:t>
      </w:r>
      <w:r w:rsidR="009E12C7">
        <w:rPr>
          <w:lang w:eastAsia="en-GB"/>
        </w:rPr>
        <w:t>)</w:t>
      </w:r>
      <w:r w:rsidRPr="004E5ABC">
        <w:rPr>
          <w:lang w:eastAsia="en-GB"/>
        </w:rPr>
        <w:t>. The approved draft variation will amend section 1.5.3––3 to permit irradiation of fresh fruit and vegetables for the purpose of pest disinfestation for a phytosanitary objective. The current</w:t>
      </w:r>
      <w:r w:rsidRPr="00A734D4">
        <w:rPr>
          <w:lang w:bidi="ar-SA"/>
        </w:rPr>
        <w:t xml:space="preserve"> permission </w:t>
      </w:r>
      <w:r w:rsidRPr="004E5ABC">
        <w:rPr>
          <w:lang w:eastAsia="en-GB"/>
        </w:rPr>
        <w:t xml:space="preserve">in section 1.5.3––3 </w:t>
      </w:r>
      <w:r>
        <w:rPr>
          <w:lang w:bidi="ar-SA"/>
        </w:rPr>
        <w:t>for 26 fruits</w:t>
      </w:r>
      <w:r w:rsidRPr="00A734D4">
        <w:rPr>
          <w:lang w:bidi="ar-SA"/>
        </w:rPr>
        <w:t xml:space="preserve"> and vegetables </w:t>
      </w:r>
      <w:r w:rsidRPr="004E5ABC">
        <w:rPr>
          <w:lang w:eastAsia="en-GB"/>
        </w:rPr>
        <w:t xml:space="preserve">will be replaced </w:t>
      </w:r>
      <w:r w:rsidRPr="00A734D4">
        <w:rPr>
          <w:lang w:bidi="ar-SA"/>
        </w:rPr>
        <w:t xml:space="preserve">with a permission </w:t>
      </w:r>
      <w:r>
        <w:rPr>
          <w:lang w:bidi="ar-SA"/>
        </w:rPr>
        <w:t xml:space="preserve">for </w:t>
      </w:r>
      <w:r w:rsidRPr="00A734D4">
        <w:rPr>
          <w:lang w:bidi="ar-SA"/>
        </w:rPr>
        <w:t xml:space="preserve">fresh fruit and vegetables. </w:t>
      </w:r>
    </w:p>
    <w:p w14:paraId="17A1245B" w14:textId="77777777" w:rsidR="00C22DD0" w:rsidRDefault="00C22DD0" w:rsidP="00BC6D1B"/>
    <w:p w14:paraId="6F4301C5" w14:textId="136EF6E0" w:rsidR="002256B1" w:rsidRDefault="002256B1" w:rsidP="002256B1">
      <w:pPr>
        <w:rPr>
          <w:lang w:bidi="ar-SA"/>
        </w:rPr>
      </w:pPr>
      <w:r>
        <w:rPr>
          <w:lang w:bidi="ar-SA"/>
        </w:rPr>
        <w:t xml:space="preserve">The scope of the permissions </w:t>
      </w:r>
      <w:r w:rsidRPr="00BC6D1B">
        <w:rPr>
          <w:lang w:bidi="ar-SA"/>
        </w:rPr>
        <w:t xml:space="preserve">cover fresh fruit and vegetables presently described in Schedule 22 of the Code, and any other fresh commodity generally understood to be a fruit or vegetable. Commodities not in scope include dried pulses and legumes (classified as ‘Vegetables’ in Schedule 22), and nuts and seeds (classified as a separate food group ‘Nuts and Seeds’ in Schedule 22). </w:t>
      </w:r>
    </w:p>
    <w:p w14:paraId="230199F0" w14:textId="77777777" w:rsidR="002256B1" w:rsidRDefault="002256B1" w:rsidP="002256B1">
      <w:pPr>
        <w:rPr>
          <w:lang w:bidi="ar-SA"/>
        </w:rPr>
      </w:pPr>
    </w:p>
    <w:p w14:paraId="707F7237" w14:textId="63B00884" w:rsidR="00C22DD0" w:rsidRDefault="00C22DD0" w:rsidP="002256B1">
      <w:pPr>
        <w:rPr>
          <w:lang w:bidi="ar-SA"/>
        </w:rPr>
      </w:pPr>
      <w:r>
        <w:rPr>
          <w:lang w:bidi="ar-SA"/>
        </w:rPr>
        <w:t>The applicant did not request any changes to the dose range,</w:t>
      </w:r>
      <w:r w:rsidRPr="0046708B">
        <w:t xml:space="preserve"> </w:t>
      </w:r>
      <w:r w:rsidR="002256B1">
        <w:t>and it remains unchanged</w:t>
      </w:r>
      <w:r>
        <w:t xml:space="preserve"> </w:t>
      </w:r>
      <w:r w:rsidR="002256B1">
        <w:t>(</w:t>
      </w:r>
      <w:r w:rsidRPr="0046708B">
        <w:rPr>
          <w:lang w:bidi="ar-SA"/>
        </w:rPr>
        <w:t>150 Gray (Gy) to 1 kGy</w:t>
      </w:r>
      <w:r w:rsidR="002256B1">
        <w:rPr>
          <w:lang w:bidi="ar-SA"/>
        </w:rPr>
        <w:t>)</w:t>
      </w:r>
      <w:r>
        <w:rPr>
          <w:lang w:bidi="ar-SA"/>
        </w:rPr>
        <w:t>. Other existing c</w:t>
      </w:r>
      <w:r w:rsidRPr="0046708B">
        <w:rPr>
          <w:lang w:bidi="ar-SA"/>
        </w:rPr>
        <w:t>onditions (including mandatory labelling</w:t>
      </w:r>
      <w:r>
        <w:rPr>
          <w:lang w:bidi="ar-SA"/>
        </w:rPr>
        <w:t xml:space="preserve"> and record keeping requirements</w:t>
      </w:r>
      <w:r w:rsidRPr="0046708B">
        <w:rPr>
          <w:lang w:bidi="ar-SA"/>
        </w:rPr>
        <w:t xml:space="preserve">) </w:t>
      </w:r>
      <w:r>
        <w:rPr>
          <w:lang w:bidi="ar-SA"/>
        </w:rPr>
        <w:t xml:space="preserve">continue to apply. Use of irradiation on fresh fruit and vegetables is voluntary and </w:t>
      </w:r>
      <w:r w:rsidRPr="00811978">
        <w:rPr>
          <w:lang w:bidi="ar-SA"/>
        </w:rPr>
        <w:t>only one of a number of existing phytosanitary treatment options</w:t>
      </w:r>
      <w:r>
        <w:rPr>
          <w:lang w:bidi="ar-SA"/>
        </w:rPr>
        <w:t xml:space="preserve">. Its use for anything other than phytosanitary purposes </w:t>
      </w:r>
      <w:r w:rsidR="002256B1">
        <w:rPr>
          <w:lang w:bidi="ar-SA"/>
        </w:rPr>
        <w:t xml:space="preserve">is </w:t>
      </w:r>
      <w:r>
        <w:rPr>
          <w:lang w:bidi="ar-SA"/>
        </w:rPr>
        <w:t>not permitted.</w:t>
      </w:r>
    </w:p>
    <w:p w14:paraId="4405EF97" w14:textId="78609F69" w:rsidR="007C0EA5" w:rsidRDefault="007C0EA5" w:rsidP="00BC6D1B"/>
    <w:p w14:paraId="48B72C80" w14:textId="77777777" w:rsidR="00C836FF" w:rsidRDefault="00C836FF" w:rsidP="002421C1">
      <w:pPr>
        <w:pStyle w:val="Heading1"/>
      </w:pPr>
      <w:r>
        <w:br w:type="page"/>
      </w:r>
    </w:p>
    <w:p w14:paraId="3633174C" w14:textId="77777777" w:rsidR="007A53BF" w:rsidRPr="007A53BF" w:rsidRDefault="007A53BF" w:rsidP="00CE59AA">
      <w:pPr>
        <w:pStyle w:val="Heading1"/>
      </w:pPr>
      <w:bookmarkStart w:id="13" w:name="_Toc300933417"/>
      <w:bookmarkStart w:id="14" w:name="_Toc370223464"/>
      <w:bookmarkStart w:id="15" w:name="_Toc65149681"/>
      <w:bookmarkStart w:id="16" w:name="_Toc65507065"/>
      <w:bookmarkStart w:id="17" w:name="_Toc65684130"/>
      <w:bookmarkStart w:id="18" w:name="_Toc71204357"/>
      <w:r w:rsidRPr="007A53BF">
        <w:lastRenderedPageBreak/>
        <w:t>1</w:t>
      </w:r>
      <w:r w:rsidRPr="007A53BF">
        <w:tab/>
        <w:t>Introduction</w:t>
      </w:r>
      <w:bookmarkEnd w:id="13"/>
      <w:bookmarkEnd w:id="14"/>
      <w:bookmarkEnd w:id="15"/>
      <w:bookmarkEnd w:id="16"/>
      <w:bookmarkEnd w:id="17"/>
      <w:bookmarkEnd w:id="18"/>
    </w:p>
    <w:p w14:paraId="61118E8E" w14:textId="6F1E05BD" w:rsidR="007A53BF" w:rsidRPr="00EF1524" w:rsidRDefault="007A53BF" w:rsidP="00CE59AA">
      <w:pPr>
        <w:pStyle w:val="Heading2"/>
      </w:pPr>
      <w:bookmarkStart w:id="19" w:name="_Toc300761890"/>
      <w:bookmarkStart w:id="20" w:name="_Toc300933419"/>
      <w:bookmarkStart w:id="21" w:name="_Toc370223465"/>
      <w:bookmarkStart w:id="22" w:name="_Toc65149682"/>
      <w:bookmarkStart w:id="23" w:name="_Toc65507066"/>
      <w:bookmarkStart w:id="24" w:name="_Toc65684131"/>
      <w:bookmarkStart w:id="25" w:name="_Toc71204358"/>
      <w:r w:rsidRPr="00EF1524">
        <w:t>1.1</w:t>
      </w:r>
      <w:r w:rsidRPr="00EF1524">
        <w:tab/>
        <w:t xml:space="preserve">The </w:t>
      </w:r>
      <w:r w:rsidR="004E7135" w:rsidRPr="00EF1524">
        <w:t>a</w:t>
      </w:r>
      <w:r w:rsidRPr="00EF1524">
        <w:t>pplicant</w:t>
      </w:r>
      <w:bookmarkEnd w:id="19"/>
      <w:bookmarkEnd w:id="20"/>
      <w:bookmarkEnd w:id="21"/>
      <w:bookmarkEnd w:id="22"/>
      <w:bookmarkEnd w:id="23"/>
      <w:bookmarkEnd w:id="24"/>
      <w:bookmarkEnd w:id="25"/>
    </w:p>
    <w:p w14:paraId="48F371C1" w14:textId="4AD3FA9A" w:rsidR="004E7135" w:rsidRPr="00E8500A" w:rsidRDefault="004E7135" w:rsidP="004E7135">
      <w:bookmarkStart w:id="26" w:name="_Toc300761891"/>
      <w:bookmarkStart w:id="27" w:name="_Toc300933420"/>
      <w:bookmarkStart w:id="28" w:name="_Toc370223466"/>
      <w:r w:rsidRPr="00E8500A">
        <w:t>Th</w:t>
      </w:r>
      <w:r>
        <w:t>e</w:t>
      </w:r>
      <w:r w:rsidRPr="00E8500A">
        <w:t xml:space="preserve"> application was made by the Queensland Government Department of Agriculture and Fisheries (QLD DAF). QLD DAF operates in the areas of policy development, biosecurity, fisheries and forestry management, research and development, and trade and export, </w:t>
      </w:r>
      <w:r>
        <w:t>to support the</w:t>
      </w:r>
      <w:r w:rsidRPr="00E8500A">
        <w:t xml:space="preserve"> agriculture, fisheries and forestry sectors</w:t>
      </w:r>
      <w:r>
        <w:t xml:space="preserve"> in that state</w:t>
      </w:r>
      <w:r w:rsidR="00EF1524">
        <w:t>.</w:t>
      </w:r>
    </w:p>
    <w:p w14:paraId="2AB08C9A" w14:textId="1A8A797F" w:rsidR="007A53BF" w:rsidRPr="007A53BF" w:rsidRDefault="007A53BF" w:rsidP="00CE59AA">
      <w:pPr>
        <w:pStyle w:val="Heading2"/>
      </w:pPr>
      <w:bookmarkStart w:id="29" w:name="_Toc65149683"/>
      <w:bookmarkStart w:id="30" w:name="_Toc65507067"/>
      <w:bookmarkStart w:id="31" w:name="_Toc65684132"/>
      <w:bookmarkStart w:id="32" w:name="_Toc71204359"/>
      <w:r w:rsidRPr="007A53BF">
        <w:t>1.2</w:t>
      </w:r>
      <w:r w:rsidRPr="007A53BF">
        <w:tab/>
        <w:t xml:space="preserve">The </w:t>
      </w:r>
      <w:r w:rsidR="004E7135" w:rsidRPr="004E7135">
        <w:t>a</w:t>
      </w:r>
      <w:r w:rsidRPr="004E7135">
        <w:t>pplication</w:t>
      </w:r>
      <w:bookmarkEnd w:id="26"/>
      <w:bookmarkEnd w:id="27"/>
      <w:bookmarkEnd w:id="28"/>
      <w:bookmarkEnd w:id="29"/>
      <w:bookmarkEnd w:id="30"/>
      <w:bookmarkEnd w:id="31"/>
      <w:bookmarkEnd w:id="32"/>
    </w:p>
    <w:p w14:paraId="520EB328" w14:textId="21BCC188" w:rsidR="007A53BF" w:rsidRDefault="004E7135" w:rsidP="007A53BF">
      <w:r w:rsidRPr="004E7135">
        <w:t xml:space="preserve">The application was received on 6 November 2019. It </w:t>
      </w:r>
      <w:r w:rsidR="00CF160B">
        <w:t>sought</w:t>
      </w:r>
      <w:r w:rsidR="00CF160B" w:rsidRPr="004E7135">
        <w:t xml:space="preserve"> </w:t>
      </w:r>
      <w:r w:rsidRPr="004E7135">
        <w:t xml:space="preserve">to change </w:t>
      </w:r>
      <w:r w:rsidR="00AB67D3">
        <w:t xml:space="preserve">Standard 1.5.3 – Irradiation of food, of </w:t>
      </w:r>
      <w:r w:rsidRPr="004E7135">
        <w:t xml:space="preserve">the </w:t>
      </w:r>
      <w:r w:rsidRPr="004E7135">
        <w:rPr>
          <w:i/>
        </w:rPr>
        <w:t>Australia New Zealand Food Standards Code</w:t>
      </w:r>
      <w:r w:rsidRPr="004E7135">
        <w:t xml:space="preserve"> (the Code) to permit the use of irradiation on </w:t>
      </w:r>
      <w:r w:rsidR="00322DF7">
        <w:t xml:space="preserve">all </w:t>
      </w:r>
      <w:r w:rsidRPr="004E7135">
        <w:t>fresh fruit and vegetables for the purpose of pest disinfestation for a phytosanitary objective</w:t>
      </w:r>
      <w:r w:rsidRPr="004E7135">
        <w:rPr>
          <w:rStyle w:val="FootnoteReference"/>
        </w:rPr>
        <w:footnoteReference w:id="3"/>
      </w:r>
      <w:r w:rsidRPr="004E7135">
        <w:t xml:space="preserve">. </w:t>
      </w:r>
      <w:r>
        <w:t xml:space="preserve">This </w:t>
      </w:r>
      <w:r w:rsidR="00CF160B">
        <w:t>in effect was</w:t>
      </w:r>
      <w:r>
        <w:t xml:space="preserve"> </w:t>
      </w:r>
      <w:r w:rsidR="00322DF7">
        <w:t xml:space="preserve">an extension to the </w:t>
      </w:r>
      <w:r w:rsidR="006A523F">
        <w:t xml:space="preserve">existing </w:t>
      </w:r>
      <w:r>
        <w:t xml:space="preserve">permissions </w:t>
      </w:r>
      <w:r w:rsidR="00322DF7">
        <w:t>covering</w:t>
      </w:r>
      <w:r w:rsidRPr="004E7135">
        <w:t xml:space="preserve"> 26 fruits and vegetables, </w:t>
      </w:r>
      <w:r w:rsidR="00785170">
        <w:t>where</w:t>
      </w:r>
      <w:r w:rsidR="00322DF7">
        <w:t xml:space="preserve"> the treatment is for a phytosanitary purpose</w:t>
      </w:r>
      <w:r w:rsidR="00397F55">
        <w:t xml:space="preserve"> only</w:t>
      </w:r>
      <w:r w:rsidRPr="004E7135">
        <w:t>.</w:t>
      </w:r>
    </w:p>
    <w:p w14:paraId="02353332" w14:textId="2DFAF014" w:rsidR="004E7135" w:rsidRDefault="004E7135" w:rsidP="007A53BF"/>
    <w:p w14:paraId="54F44B8C" w14:textId="003D9242" w:rsidR="00322DF7" w:rsidRDefault="004E7135" w:rsidP="004E7135">
      <w:r>
        <w:t xml:space="preserve">A </w:t>
      </w:r>
      <w:r w:rsidRPr="001C3722">
        <w:t xml:space="preserve">phytosanitary </w:t>
      </w:r>
      <w:r>
        <w:t xml:space="preserve">treatment is used on food that is entering another quarantine region, when there is a requirement </w:t>
      </w:r>
      <w:r w:rsidR="00F5798B">
        <w:t xml:space="preserve">for </w:t>
      </w:r>
      <w:r>
        <w:t xml:space="preserve">that food </w:t>
      </w:r>
      <w:r w:rsidR="00011878">
        <w:t>to be</w:t>
      </w:r>
      <w:r>
        <w:t xml:space="preserve"> free </w:t>
      </w:r>
      <w:r w:rsidRPr="001C3722">
        <w:t>from regulated pests</w:t>
      </w:r>
      <w:r>
        <w:t xml:space="preserve">. </w:t>
      </w:r>
      <w:r w:rsidRPr="001C3722">
        <w:t xml:space="preserve">This requirement can apply </w:t>
      </w:r>
      <w:r>
        <w:t>to interstate trade across different quarantine jurisdictions within Australia</w:t>
      </w:r>
      <w:r w:rsidRPr="001C3722">
        <w:t xml:space="preserve">. </w:t>
      </w:r>
      <w:r>
        <w:t>It</w:t>
      </w:r>
      <w:r w:rsidRPr="001C3722">
        <w:t xml:space="preserve"> </w:t>
      </w:r>
      <w:r>
        <w:t>can also apply</w:t>
      </w:r>
      <w:r w:rsidRPr="001C3722">
        <w:t xml:space="preserve"> to imports into Australia and New Zealand.</w:t>
      </w:r>
      <w:r>
        <w:t xml:space="preserve"> </w:t>
      </w:r>
    </w:p>
    <w:p w14:paraId="13749BBD" w14:textId="77777777" w:rsidR="00322DF7" w:rsidRDefault="00322DF7" w:rsidP="004E7135"/>
    <w:p w14:paraId="3E78DB03" w14:textId="7CA76C1B" w:rsidR="004E7135" w:rsidRDefault="004E7135" w:rsidP="004E7135">
      <w:r>
        <w:t xml:space="preserve">The </w:t>
      </w:r>
      <w:r w:rsidR="00F5798B">
        <w:t xml:space="preserve">application sought the above permission for all </w:t>
      </w:r>
      <w:r w:rsidRPr="00A014AC">
        <w:t xml:space="preserve">fresh </w:t>
      </w:r>
      <w:r>
        <w:t>fruit</w:t>
      </w:r>
      <w:r w:rsidRPr="00A014AC">
        <w:t xml:space="preserve"> and vegetables presently described </w:t>
      </w:r>
      <w:r>
        <w:t>in</w:t>
      </w:r>
      <w:r w:rsidRPr="00A014AC">
        <w:t xml:space="preserve"> Schedule 22 of the </w:t>
      </w:r>
      <w:r>
        <w:t xml:space="preserve">Code, and </w:t>
      </w:r>
      <w:r w:rsidRPr="00A014AC">
        <w:t xml:space="preserve">any other fresh commodity generally understood to be a fruit or vegetable. </w:t>
      </w:r>
      <w:r w:rsidR="00F5798B">
        <w:t xml:space="preserve">The application excluded </w:t>
      </w:r>
      <w:r w:rsidRPr="00A014AC">
        <w:t>dried pulses</w:t>
      </w:r>
      <w:r>
        <w:t xml:space="preserve"> and</w:t>
      </w:r>
      <w:r w:rsidRPr="00A014AC">
        <w:t xml:space="preserve"> legumes</w:t>
      </w:r>
      <w:r>
        <w:t xml:space="preserve"> (classified as ‘Vegetables’ in Schedule 22)</w:t>
      </w:r>
      <w:r w:rsidRPr="00A014AC">
        <w:t xml:space="preserve">, </w:t>
      </w:r>
      <w:r>
        <w:t xml:space="preserve">and </w:t>
      </w:r>
      <w:r w:rsidRPr="00A014AC">
        <w:t>nuts and seeds</w:t>
      </w:r>
      <w:r>
        <w:t xml:space="preserve"> (classified as a separate food group ‘Nuts and Seeds’ in Schedule 22)</w:t>
      </w:r>
      <w:r w:rsidRPr="00A014AC">
        <w:t>.</w:t>
      </w:r>
      <w:r>
        <w:t xml:space="preserve"> </w:t>
      </w:r>
      <w:r w:rsidR="00F5798B">
        <w:t xml:space="preserve">The application did not seek any change to the required dose </w:t>
      </w:r>
      <w:r w:rsidR="006A523F">
        <w:t>range</w:t>
      </w:r>
      <w:r w:rsidR="00F5798B">
        <w:t xml:space="preserve">: that is, </w:t>
      </w:r>
      <w:r>
        <w:t>150 Gray (Gy) to 1 k</w:t>
      </w:r>
      <w:r w:rsidRPr="00052B44">
        <w:t>ilo</w:t>
      </w:r>
      <w:r>
        <w:t>G</w:t>
      </w:r>
      <w:r w:rsidR="00AB67D3">
        <w:t>ray (kGy)</w:t>
      </w:r>
      <w:r w:rsidR="00F5798B">
        <w:t>.</w:t>
      </w:r>
    </w:p>
    <w:p w14:paraId="3D76CCCB" w14:textId="0E188055" w:rsidR="004E7135" w:rsidRDefault="004E7135" w:rsidP="004E7135"/>
    <w:p w14:paraId="77EDBD45" w14:textId="3A00CD13" w:rsidR="00C36755" w:rsidRDefault="00F5798B" w:rsidP="005B0B7B">
      <w:r>
        <w:t>The application claimed that the above permission, if granted, would in practice apply</w:t>
      </w:r>
      <w:r w:rsidR="00930494">
        <w:t xml:space="preserve"> </w:t>
      </w:r>
      <w:r w:rsidR="00930494" w:rsidRPr="004F6A9C">
        <w:t>to</w:t>
      </w:r>
      <w:r w:rsidR="00930494">
        <w:t xml:space="preserve"> </w:t>
      </w:r>
      <w:r w:rsidR="00B72306">
        <w:t>only a</w:t>
      </w:r>
      <w:r w:rsidR="00930494">
        <w:t xml:space="preserve"> small proportion of </w:t>
      </w:r>
      <w:r w:rsidR="00930494" w:rsidRPr="004F6A9C">
        <w:t xml:space="preserve">domestically produced and imported </w:t>
      </w:r>
      <w:r w:rsidR="00930494">
        <w:t xml:space="preserve">produce that requires a phytosanitary treatment to permit its movement into another quarantine region. </w:t>
      </w:r>
      <w:r>
        <w:t xml:space="preserve">This was on the basis that most fresh produce in </w:t>
      </w:r>
      <w:r w:rsidR="005B0B7B">
        <w:t>Australia and New Zealand is grown and consumed within the same quarantine jurisdiction and, as such, is not subject to any phytosanitary treatment for pest disinfestation</w:t>
      </w:r>
      <w:r w:rsidR="00A05B6B">
        <w:t>.</w:t>
      </w:r>
      <w:r w:rsidR="00F53260">
        <w:t xml:space="preserve"> For some produce</w:t>
      </w:r>
      <w:r w:rsidR="005B0B7B" w:rsidRPr="00A1447F">
        <w:t xml:space="preserve"> </w:t>
      </w:r>
      <w:r w:rsidR="00F53260">
        <w:t>that does cross quarantine borders, e.g.</w:t>
      </w:r>
      <w:r w:rsidR="005B0B7B" w:rsidRPr="00A1447F">
        <w:t xml:space="preserve"> Australian-grown vegetables</w:t>
      </w:r>
      <w:r w:rsidR="005B0B7B">
        <w:t>,</w:t>
      </w:r>
      <w:r w:rsidR="005B0B7B" w:rsidRPr="00A1447F">
        <w:t xml:space="preserve"> an end point phytosanitary treatment is </w:t>
      </w:r>
      <w:r w:rsidR="004F6B03">
        <w:t xml:space="preserve">also </w:t>
      </w:r>
      <w:r w:rsidR="005B0B7B" w:rsidRPr="00A1447F">
        <w:t xml:space="preserve">unnecessary </w:t>
      </w:r>
      <w:r w:rsidR="004F6B03">
        <w:t xml:space="preserve">as </w:t>
      </w:r>
      <w:r w:rsidR="005B0B7B" w:rsidRPr="00A1447F">
        <w:t xml:space="preserve"> harvesting and processing requirements result in soil and pest free commodities</w:t>
      </w:r>
      <w:r w:rsidR="005B0B7B">
        <w:t>.</w:t>
      </w:r>
      <w:r w:rsidR="005B0B7B" w:rsidRPr="00A1447F">
        <w:t xml:space="preserve"> </w:t>
      </w:r>
      <w:r w:rsidR="00F53260" w:rsidRPr="00F53260">
        <w:t xml:space="preserve">In other cases, existing </w:t>
      </w:r>
      <w:r w:rsidR="004F6B03">
        <w:t>and</w:t>
      </w:r>
      <w:r w:rsidR="00F53260" w:rsidRPr="00F53260">
        <w:t xml:space="preserve"> well established </w:t>
      </w:r>
      <w:r w:rsidR="004F6B03" w:rsidRPr="00F53260">
        <w:t>phytosanitary treatments</w:t>
      </w:r>
      <w:r w:rsidR="004F6B03">
        <w:t xml:space="preserve"> will continue to be used instead of </w:t>
      </w:r>
      <w:r w:rsidR="00F53260" w:rsidRPr="00F53260">
        <w:t xml:space="preserve">irradiation. </w:t>
      </w:r>
      <w:r w:rsidR="004F6B03">
        <w:t>The application stated that i</w:t>
      </w:r>
      <w:r w:rsidR="00930494">
        <w:t xml:space="preserve">rradiation as a </w:t>
      </w:r>
      <w:r w:rsidR="001C5358">
        <w:t xml:space="preserve">phytosanitary </w:t>
      </w:r>
      <w:r w:rsidR="00930494">
        <w:t xml:space="preserve">treatment </w:t>
      </w:r>
      <w:r w:rsidR="004F6B03">
        <w:t xml:space="preserve">would </w:t>
      </w:r>
      <w:r w:rsidR="004A6EED">
        <w:t>be an</w:t>
      </w:r>
      <w:r w:rsidR="007F05E9">
        <w:t xml:space="preserve"> </w:t>
      </w:r>
      <w:r w:rsidR="00930494" w:rsidRPr="00930494">
        <w:t>alternative</w:t>
      </w:r>
      <w:r w:rsidR="007F05E9">
        <w:t xml:space="preserve"> </w:t>
      </w:r>
      <w:r w:rsidR="004A6EED">
        <w:t>when other methods are not</w:t>
      </w:r>
      <w:r w:rsidR="007F05E9">
        <w:t xml:space="preserve"> effective </w:t>
      </w:r>
      <w:r w:rsidR="00930494" w:rsidRPr="00930494">
        <w:t xml:space="preserve">or </w:t>
      </w:r>
      <w:r w:rsidR="004A6EED">
        <w:t>if</w:t>
      </w:r>
      <w:r w:rsidR="004A6EED" w:rsidRPr="00930494">
        <w:t xml:space="preserve"> </w:t>
      </w:r>
      <w:r w:rsidR="004A6EED">
        <w:t xml:space="preserve">another traditional treatment has </w:t>
      </w:r>
      <w:r w:rsidR="00930494" w:rsidRPr="00930494">
        <w:t>been suspen</w:t>
      </w:r>
      <w:r w:rsidR="004A6EED">
        <w:t>ded</w:t>
      </w:r>
      <w:r w:rsidR="00930494" w:rsidRPr="00930494">
        <w:t>.</w:t>
      </w:r>
      <w:r w:rsidR="004F6B03">
        <w:t xml:space="preserve"> </w:t>
      </w:r>
      <w:r w:rsidR="00203A0E">
        <w:t xml:space="preserve">In all, </w:t>
      </w:r>
      <w:r w:rsidR="00680D88">
        <w:t>the applicant</w:t>
      </w:r>
      <w:r w:rsidR="004F6B03">
        <w:t xml:space="preserve"> estimated </w:t>
      </w:r>
      <w:r w:rsidR="005B0B7B" w:rsidRPr="00397F55">
        <w:t>3% and 8% of total fruit and</w:t>
      </w:r>
      <w:r w:rsidR="00B4748E">
        <w:t xml:space="preserve"> </w:t>
      </w:r>
      <w:r w:rsidR="005B0B7B" w:rsidRPr="00397F55">
        <w:t>1.2% and 0.3% of total vegetables consumed in Australia and New Zealand, respectively, might be irradiated.</w:t>
      </w:r>
      <w:r w:rsidR="00C36755" w:rsidRPr="00397F55">
        <w:t xml:space="preserve"> </w:t>
      </w:r>
    </w:p>
    <w:p w14:paraId="7EFC242E" w14:textId="4916AF92" w:rsidR="00F5798B" w:rsidRDefault="00F5798B" w:rsidP="005B0B7B"/>
    <w:p w14:paraId="065A61BD" w14:textId="03B016CD" w:rsidR="004F6B03" w:rsidRDefault="004F6B03" w:rsidP="005B0B7B">
      <w:r>
        <w:t>The application stated that the above permission</w:t>
      </w:r>
      <w:r w:rsidRPr="00D2603B">
        <w:t xml:space="preserve"> w</w:t>
      </w:r>
      <w:r>
        <w:t>ould</w:t>
      </w:r>
      <w:r w:rsidRPr="00D2603B">
        <w:t xml:space="preserve"> bring Australian and New Zealand regulations into line with international </w:t>
      </w:r>
      <w:r>
        <w:t>standards and recommendations</w:t>
      </w:r>
      <w:r w:rsidRPr="00D2603B">
        <w:t>.</w:t>
      </w:r>
    </w:p>
    <w:p w14:paraId="41974C8C" w14:textId="77777777" w:rsidR="004F6B03" w:rsidRPr="00C36755" w:rsidRDefault="004F6B03" w:rsidP="005B0B7B">
      <w:pPr>
        <w:rPr>
          <w:highlight w:val="yellow"/>
        </w:rPr>
      </w:pPr>
    </w:p>
    <w:p w14:paraId="38442E4A" w14:textId="765A89C9" w:rsidR="004E7135" w:rsidRPr="00757F79" w:rsidRDefault="004E7135" w:rsidP="004E7135">
      <w:r w:rsidRPr="00757F79">
        <w:t xml:space="preserve">Standard 1.5.3 includes a number of other mandatory requirements for food irradiation, covering conditions for the re-irradiation of food, sources of radiation, record-keeping and labelling information requirements. The application </w:t>
      </w:r>
      <w:r w:rsidR="00AB67D3">
        <w:t>did</w:t>
      </w:r>
      <w:r w:rsidRPr="00757F79">
        <w:t xml:space="preserve"> not propose any changes to these requirements. </w:t>
      </w:r>
    </w:p>
    <w:p w14:paraId="18FBDCC0" w14:textId="77777777" w:rsidR="007A53BF" w:rsidRPr="007A53BF" w:rsidRDefault="007A53BF" w:rsidP="00CE59AA">
      <w:pPr>
        <w:pStyle w:val="Heading2"/>
      </w:pPr>
      <w:bookmarkStart w:id="33" w:name="_Toc300761892"/>
      <w:bookmarkStart w:id="34" w:name="_Toc300933421"/>
      <w:bookmarkStart w:id="35" w:name="_Toc370223467"/>
      <w:bookmarkStart w:id="36" w:name="_Toc65149684"/>
      <w:bookmarkStart w:id="37" w:name="_Toc65507068"/>
      <w:bookmarkStart w:id="38" w:name="_Toc65684133"/>
      <w:bookmarkStart w:id="39" w:name="_Toc71204360"/>
      <w:r w:rsidRPr="007A53BF">
        <w:lastRenderedPageBreak/>
        <w:t>1.3</w:t>
      </w:r>
      <w:r w:rsidRPr="007A53BF">
        <w:tab/>
        <w:t>The current Standard</w:t>
      </w:r>
      <w:bookmarkEnd w:id="33"/>
      <w:bookmarkEnd w:id="34"/>
      <w:bookmarkEnd w:id="35"/>
      <w:bookmarkEnd w:id="36"/>
      <w:bookmarkEnd w:id="37"/>
      <w:bookmarkEnd w:id="38"/>
      <w:bookmarkEnd w:id="39"/>
    </w:p>
    <w:p w14:paraId="5D51FC25" w14:textId="4E1A1DFE" w:rsidR="00AB67D3" w:rsidRPr="00C4697A" w:rsidRDefault="00AB67D3" w:rsidP="00AB67D3">
      <w:bookmarkStart w:id="40" w:name="_Toc286391007"/>
      <w:bookmarkStart w:id="41" w:name="_Toc300933423"/>
      <w:bookmarkStart w:id="42" w:name="_Toc370223468"/>
      <w:bookmarkStart w:id="43" w:name="_Toc175381432"/>
      <w:r>
        <w:t xml:space="preserve">Australian and New Zealand food laws require </w:t>
      </w:r>
      <w:r w:rsidR="00004689">
        <w:t xml:space="preserve">that </w:t>
      </w:r>
      <w:r>
        <w:t>food for sale must comply with the Code. The requirements relevant to this application are summarised below.</w:t>
      </w:r>
    </w:p>
    <w:p w14:paraId="2D42ECF9" w14:textId="77777777" w:rsidR="00AB67D3" w:rsidRPr="008D6ECE" w:rsidRDefault="00AB67D3" w:rsidP="00AB67D3">
      <w:pPr>
        <w:pStyle w:val="Heading3"/>
      </w:pPr>
      <w:bookmarkStart w:id="44" w:name="_Toc51149144"/>
      <w:bookmarkStart w:id="45" w:name="_Toc51670617"/>
      <w:bookmarkStart w:id="46" w:name="_Toc54771256"/>
      <w:bookmarkStart w:id="47" w:name="_Toc65149685"/>
      <w:bookmarkStart w:id="48" w:name="_Toc65507069"/>
      <w:bookmarkStart w:id="49" w:name="_Toc65684134"/>
      <w:bookmarkStart w:id="50" w:name="_Toc71204361"/>
      <w:r>
        <w:t>1.3.</w:t>
      </w:r>
      <w:r w:rsidRPr="00E8500A">
        <w:t>1</w:t>
      </w:r>
      <w:r>
        <w:tab/>
      </w:r>
      <w:r w:rsidRPr="00E8500A">
        <w:t>Permitted</w:t>
      </w:r>
      <w:r w:rsidRPr="008D6ECE">
        <w:t xml:space="preserve"> use</w:t>
      </w:r>
      <w:bookmarkEnd w:id="44"/>
      <w:bookmarkEnd w:id="45"/>
      <w:bookmarkEnd w:id="46"/>
      <w:bookmarkEnd w:id="47"/>
      <w:bookmarkEnd w:id="48"/>
      <w:bookmarkEnd w:id="49"/>
      <w:bookmarkEnd w:id="50"/>
    </w:p>
    <w:p w14:paraId="4E9A75AE" w14:textId="50ADC50F" w:rsidR="0035308F" w:rsidRDefault="00AB67D3" w:rsidP="00AB67D3">
      <w:r>
        <w:t xml:space="preserve">Paragraphs 1.1.1—10(5)(d) and (6)(h) of the Code provide that a food for sale must not consist of, or have as an ingredient or a component, a food that has been irradiated, unless expressly permitted by the Code. Division 2 of Standard 1.5.3 of the Code contains the relevant permissions for the irradiation (and re-irradiation) of food. </w:t>
      </w:r>
      <w:r w:rsidR="00474502">
        <w:t xml:space="preserve">At present, </w:t>
      </w:r>
      <w:r w:rsidRPr="00AB67D3">
        <w:t xml:space="preserve">26 </w:t>
      </w:r>
      <w:r w:rsidR="00474502">
        <w:t xml:space="preserve">specific </w:t>
      </w:r>
      <w:r w:rsidRPr="00AB67D3">
        <w:t>fruits and vegetables</w:t>
      </w:r>
      <w:r w:rsidR="00C712FB">
        <w:t xml:space="preserve"> </w:t>
      </w:r>
      <w:r w:rsidR="00474502">
        <w:t>are permitted to be irradiated</w:t>
      </w:r>
      <w:r w:rsidR="00A10D23">
        <w:t xml:space="preserve"> for the purpose of pest disinfestation for a phytosanitary objective</w:t>
      </w:r>
      <w:r>
        <w:t xml:space="preserve">. </w:t>
      </w:r>
    </w:p>
    <w:p w14:paraId="76E33D26" w14:textId="77777777" w:rsidR="0035308F" w:rsidRDefault="0035308F" w:rsidP="00AB67D3"/>
    <w:p w14:paraId="7B89E039" w14:textId="4685EB53" w:rsidR="00AB67D3" w:rsidRDefault="00AB67D3" w:rsidP="00AB67D3">
      <w:r>
        <w:t xml:space="preserve">In addition, </w:t>
      </w:r>
      <w:r w:rsidR="0035308F">
        <w:t>subsections 1.5.3—4 and 1.5.3—5 of the Code provides that</w:t>
      </w:r>
      <w:r>
        <w:t xml:space="preserve"> herbs, spices and plant material for a herbal infusion may be irradiated for the purpose of controlling sprouting and pest disinfestation, including the control of weeds</w:t>
      </w:r>
      <w:r w:rsidR="00B4748E">
        <w:t>.</w:t>
      </w:r>
      <w:r w:rsidR="0035308F">
        <w:t xml:space="preserve"> </w:t>
      </w:r>
    </w:p>
    <w:p w14:paraId="0FB513CF" w14:textId="77777777" w:rsidR="00AB67D3" w:rsidRPr="008D6ECE" w:rsidRDefault="00AB67D3" w:rsidP="00AB67D3">
      <w:pPr>
        <w:pStyle w:val="Heading3"/>
      </w:pPr>
      <w:bookmarkStart w:id="51" w:name="_Toc51149145"/>
      <w:bookmarkStart w:id="52" w:name="_Toc51670618"/>
      <w:bookmarkStart w:id="53" w:name="_Toc54771257"/>
      <w:bookmarkStart w:id="54" w:name="_Toc65149686"/>
      <w:bookmarkStart w:id="55" w:name="_Toc65507070"/>
      <w:bookmarkStart w:id="56" w:name="_Toc65684135"/>
      <w:bookmarkStart w:id="57" w:name="_Toc71204362"/>
      <w:r w:rsidRPr="008D6ECE">
        <w:t>1.3.2</w:t>
      </w:r>
      <w:r w:rsidRPr="008D6ECE">
        <w:tab/>
        <w:t>Record keeping</w:t>
      </w:r>
      <w:bookmarkEnd w:id="51"/>
      <w:bookmarkEnd w:id="52"/>
      <w:bookmarkEnd w:id="53"/>
      <w:bookmarkEnd w:id="54"/>
      <w:bookmarkEnd w:id="55"/>
      <w:bookmarkEnd w:id="56"/>
      <w:bookmarkEnd w:id="57"/>
    </w:p>
    <w:p w14:paraId="30C5ADC3" w14:textId="25869295" w:rsidR="00AB67D3" w:rsidRDefault="00AB67D3" w:rsidP="00AB67D3">
      <w:r>
        <w:t xml:space="preserve">Subsection 1.1.1—14(2) </w:t>
      </w:r>
      <w:r w:rsidR="009F7BDA">
        <w:t>states</w:t>
      </w:r>
      <w:r>
        <w:t xml:space="preserve"> that if the Code sets requirements for record-keeping in relation to food, those requirements must be complied with. Division 3 of Standard 1.5.3 </w:t>
      </w:r>
      <w:r w:rsidR="00806E8B">
        <w:t>details the</w:t>
      </w:r>
      <w:r>
        <w:t xml:space="preserve"> record keeping requirements </w:t>
      </w:r>
      <w:r w:rsidR="00806E8B">
        <w:t xml:space="preserve">of the </w:t>
      </w:r>
      <w:r w:rsidR="00D32E31">
        <w:t>person irradiating the food</w:t>
      </w:r>
      <w:r>
        <w:t xml:space="preserve"> (section </w:t>
      </w:r>
      <w:r w:rsidRPr="007C67AC">
        <w:t>1.5.3—8</w:t>
      </w:r>
      <w:r>
        <w:t>).</w:t>
      </w:r>
    </w:p>
    <w:p w14:paraId="2AA7E935" w14:textId="77777777" w:rsidR="00AB67D3" w:rsidRPr="008D6ECE" w:rsidRDefault="00AB67D3" w:rsidP="00AB67D3">
      <w:pPr>
        <w:pStyle w:val="Heading3"/>
      </w:pPr>
      <w:bookmarkStart w:id="58" w:name="_Toc51670619"/>
      <w:bookmarkStart w:id="59" w:name="_Toc54771258"/>
      <w:bookmarkStart w:id="60" w:name="_Toc65149687"/>
      <w:bookmarkStart w:id="61" w:name="_Toc65507071"/>
      <w:bookmarkStart w:id="62" w:name="_Toc65684136"/>
      <w:bookmarkStart w:id="63" w:name="_Toc71204363"/>
      <w:bookmarkStart w:id="64" w:name="_Toc51149146"/>
      <w:r>
        <w:t>1.3.3</w:t>
      </w:r>
      <w:r>
        <w:tab/>
      </w:r>
      <w:r w:rsidRPr="008D6ECE">
        <w:t>Labelling requirements</w:t>
      </w:r>
      <w:bookmarkEnd w:id="58"/>
      <w:bookmarkEnd w:id="59"/>
      <w:bookmarkEnd w:id="60"/>
      <w:bookmarkEnd w:id="61"/>
      <w:bookmarkEnd w:id="62"/>
      <w:bookmarkEnd w:id="63"/>
      <w:r w:rsidRPr="008D6ECE">
        <w:t xml:space="preserve"> </w:t>
      </w:r>
      <w:bookmarkEnd w:id="64"/>
    </w:p>
    <w:p w14:paraId="45860D42" w14:textId="592D22AD" w:rsidR="00855ACA" w:rsidRDefault="00AB67D3" w:rsidP="00AB67D3">
      <w:r w:rsidRPr="0015149D">
        <w:t xml:space="preserve">Subsection 1.1.1—10(8) </w:t>
      </w:r>
      <w:r w:rsidR="00855ACA">
        <w:t xml:space="preserve">states </w:t>
      </w:r>
      <w:r w:rsidRPr="0015149D">
        <w:t>that</w:t>
      </w:r>
      <w:r w:rsidR="001050F2">
        <w:t xml:space="preserve"> if a labelling requirement of the Code applies to the sale of food, the labelling must comply with the requirement.</w:t>
      </w:r>
      <w:r w:rsidRPr="0015149D">
        <w:t xml:space="preserve"> </w:t>
      </w:r>
    </w:p>
    <w:p w14:paraId="3A1B3A1C" w14:textId="77777777" w:rsidR="00855ACA" w:rsidRDefault="00855ACA" w:rsidP="00AB67D3"/>
    <w:p w14:paraId="28C96D5F" w14:textId="573D8682" w:rsidR="00BC18E2" w:rsidRDefault="00CE31B7" w:rsidP="00CE31B7">
      <w:pPr>
        <w:widowControl/>
        <w:autoSpaceDE w:val="0"/>
        <w:autoSpaceDN w:val="0"/>
        <w:adjustRightInd w:val="0"/>
        <w:rPr>
          <w:rFonts w:eastAsia="ArialMT" w:cs="Arial"/>
          <w:szCs w:val="22"/>
          <w:lang w:eastAsia="en-GB" w:bidi="ar-SA"/>
        </w:rPr>
      </w:pPr>
      <w:r w:rsidRPr="00474502">
        <w:rPr>
          <w:rFonts w:eastAsia="ArialMT" w:cs="Arial"/>
          <w:szCs w:val="22"/>
          <w:lang w:eastAsia="en-GB" w:bidi="ar-SA"/>
        </w:rPr>
        <w:t>Subsection 1.2.1—8 and 1.2.1—9</w:t>
      </w:r>
      <w:r>
        <w:rPr>
          <w:rFonts w:eastAsia="ArialMT" w:cs="Arial"/>
          <w:szCs w:val="22"/>
          <w:lang w:eastAsia="en-GB" w:bidi="ar-SA"/>
        </w:rPr>
        <w:t xml:space="preserve"> </w:t>
      </w:r>
      <w:r w:rsidRPr="00474502">
        <w:rPr>
          <w:rFonts w:eastAsia="ArialMT" w:cs="Arial"/>
          <w:szCs w:val="22"/>
          <w:lang w:eastAsia="en-GB" w:bidi="ar-SA"/>
        </w:rPr>
        <w:t>of the Code contains information requirements for foods that are required to bear a label, and</w:t>
      </w:r>
      <w:r>
        <w:rPr>
          <w:rFonts w:eastAsia="ArialMT" w:cs="Arial"/>
          <w:szCs w:val="22"/>
          <w:lang w:eastAsia="en-GB" w:bidi="ar-SA"/>
        </w:rPr>
        <w:t xml:space="preserve"> </w:t>
      </w:r>
      <w:r w:rsidRPr="00474502">
        <w:rPr>
          <w:rFonts w:eastAsia="ArialMT" w:cs="Arial"/>
          <w:szCs w:val="22"/>
          <w:lang w:eastAsia="en-GB" w:bidi="ar-SA"/>
        </w:rPr>
        <w:t>for those not required to bear a label, respectively, including information relating to irradiated</w:t>
      </w:r>
      <w:r>
        <w:rPr>
          <w:rFonts w:eastAsia="ArialMT" w:cs="Arial"/>
          <w:szCs w:val="22"/>
          <w:lang w:eastAsia="en-GB" w:bidi="ar-SA"/>
        </w:rPr>
        <w:t xml:space="preserve"> </w:t>
      </w:r>
      <w:r w:rsidRPr="00474502">
        <w:rPr>
          <w:rFonts w:eastAsia="ArialMT" w:cs="Arial"/>
          <w:szCs w:val="22"/>
          <w:lang w:eastAsia="en-GB" w:bidi="ar-SA"/>
        </w:rPr>
        <w:t>food.</w:t>
      </w:r>
    </w:p>
    <w:p w14:paraId="65089B5C" w14:textId="77777777" w:rsidR="00910C25" w:rsidRDefault="00910C25" w:rsidP="00AB67D3"/>
    <w:p w14:paraId="4333385B" w14:textId="787DCAB9" w:rsidR="00486C90" w:rsidRDefault="00486C90" w:rsidP="00486C90">
      <w:pPr>
        <w:widowControl/>
        <w:autoSpaceDE w:val="0"/>
        <w:autoSpaceDN w:val="0"/>
        <w:adjustRightInd w:val="0"/>
      </w:pPr>
      <w:r w:rsidRPr="00474502">
        <w:rPr>
          <w:rFonts w:eastAsia="ArialMT" w:cs="Arial"/>
          <w:szCs w:val="22"/>
          <w:lang w:eastAsia="en-GB" w:bidi="ar-SA"/>
        </w:rPr>
        <w:t>Section 1.5.3—9 requires that if the food has been</w:t>
      </w:r>
      <w:r>
        <w:rPr>
          <w:rFonts w:eastAsia="ArialMT" w:cs="Arial"/>
          <w:szCs w:val="22"/>
          <w:lang w:eastAsia="en-GB" w:bidi="ar-SA"/>
        </w:rPr>
        <w:t xml:space="preserve"> </w:t>
      </w:r>
      <w:r w:rsidRPr="00474502">
        <w:rPr>
          <w:rFonts w:eastAsia="ArialMT" w:cs="Arial"/>
          <w:szCs w:val="22"/>
          <w:lang w:eastAsia="en-GB" w:bidi="ar-SA"/>
        </w:rPr>
        <w:t xml:space="preserve">irradiated, or if an ingredient or component of the food has been irradiated, </w:t>
      </w:r>
      <w:r w:rsidRPr="00806E8B">
        <w:rPr>
          <w:rFonts w:eastAsia="ArialMT" w:cs="Arial"/>
          <w:szCs w:val="22"/>
          <w:lang w:eastAsia="en-GB" w:bidi="ar-SA"/>
        </w:rPr>
        <w:t>then there must be a statement to the effect that the food, or the ingredient or component of tha</w:t>
      </w:r>
      <w:r w:rsidRPr="00474502">
        <w:rPr>
          <w:rFonts w:eastAsia="ArialMT" w:cs="Arial"/>
          <w:szCs w:val="22"/>
          <w:lang w:eastAsia="en-GB" w:bidi="ar-SA"/>
        </w:rPr>
        <w:t>t food, has</w:t>
      </w:r>
      <w:r>
        <w:rPr>
          <w:rFonts w:eastAsia="ArialMT" w:cs="Arial"/>
          <w:szCs w:val="22"/>
          <w:lang w:eastAsia="en-GB" w:bidi="ar-SA"/>
        </w:rPr>
        <w:t xml:space="preserve"> </w:t>
      </w:r>
      <w:r w:rsidRPr="00474502">
        <w:rPr>
          <w:rFonts w:eastAsia="ArialMT" w:cs="Arial"/>
          <w:szCs w:val="22"/>
          <w:lang w:eastAsia="en-GB" w:bidi="ar-SA"/>
        </w:rPr>
        <w:t>been treated with ionising radiation.</w:t>
      </w:r>
    </w:p>
    <w:p w14:paraId="6E11AC86" w14:textId="6B107FD4" w:rsidR="00A10D23" w:rsidRPr="00276FF2" w:rsidRDefault="00276FF2" w:rsidP="00276FF2">
      <w:pPr>
        <w:pStyle w:val="Heading2"/>
      </w:pPr>
      <w:bookmarkStart w:id="65" w:name="_Toc526345341"/>
      <w:bookmarkStart w:id="66" w:name="_Toc9433808"/>
      <w:bookmarkStart w:id="67" w:name="_Toc17466246"/>
      <w:bookmarkStart w:id="68" w:name="_Toc41314089"/>
      <w:bookmarkStart w:id="69" w:name="_Toc65149688"/>
      <w:bookmarkStart w:id="70" w:name="_Toc65507072"/>
      <w:bookmarkStart w:id="71" w:name="_Toc65684137"/>
      <w:bookmarkStart w:id="72" w:name="_Toc71204364"/>
      <w:r w:rsidRPr="00276FF2">
        <w:t>1.4</w:t>
      </w:r>
      <w:r w:rsidR="00A10D23" w:rsidRPr="00276FF2">
        <w:tab/>
        <w:t>International standards</w:t>
      </w:r>
      <w:bookmarkEnd w:id="65"/>
      <w:bookmarkEnd w:id="66"/>
      <w:bookmarkEnd w:id="67"/>
      <w:bookmarkEnd w:id="68"/>
      <w:bookmarkEnd w:id="69"/>
      <w:bookmarkEnd w:id="70"/>
      <w:bookmarkEnd w:id="71"/>
      <w:bookmarkEnd w:id="72"/>
    </w:p>
    <w:p w14:paraId="4BFBF420" w14:textId="0D80BF23" w:rsidR="00E227AA" w:rsidRDefault="00A10D23" w:rsidP="00C57D35">
      <w:pPr>
        <w:tabs>
          <w:tab w:val="left" w:pos="1560"/>
        </w:tabs>
      </w:pPr>
      <w:r w:rsidRPr="00276FF2">
        <w:t>In developing food regulatory measures, FSANZ must have regard to the promotion of consistency between domestic and international food standards.</w:t>
      </w:r>
      <w:r w:rsidR="00276FF2">
        <w:t xml:space="preserve"> T</w:t>
      </w:r>
      <w:r w:rsidRPr="00276FF2">
        <w:t xml:space="preserve">he relevant international standard setting </w:t>
      </w:r>
      <w:r w:rsidR="00C57D35">
        <w:t xml:space="preserve">agencies are </w:t>
      </w:r>
      <w:r w:rsidRPr="00276FF2">
        <w:t>the Codex Alimentarius Commission (Codex)</w:t>
      </w:r>
      <w:r w:rsidR="00276FF2" w:rsidRPr="00276FF2">
        <w:t xml:space="preserve"> and the International Plant Protection Convention (IPPC).</w:t>
      </w:r>
      <w:r w:rsidR="00C57D35">
        <w:t xml:space="preserve"> Both agencies endorse the use of </w:t>
      </w:r>
      <w:r w:rsidR="00E227AA">
        <w:t xml:space="preserve">food </w:t>
      </w:r>
      <w:r w:rsidR="00C57D35">
        <w:t xml:space="preserve">irradiation. </w:t>
      </w:r>
    </w:p>
    <w:p w14:paraId="6CCC4FAB" w14:textId="77777777" w:rsidR="00E227AA" w:rsidRDefault="00E227AA" w:rsidP="00C57D35">
      <w:pPr>
        <w:tabs>
          <w:tab w:val="left" w:pos="1560"/>
        </w:tabs>
      </w:pPr>
    </w:p>
    <w:p w14:paraId="121C0009" w14:textId="71CB4F1B" w:rsidR="00276FF2" w:rsidRPr="00276FF2" w:rsidRDefault="00C57D35" w:rsidP="00E227AA">
      <w:pPr>
        <w:tabs>
          <w:tab w:val="left" w:pos="1560"/>
        </w:tabs>
      </w:pPr>
      <w:r>
        <w:rPr>
          <w:rFonts w:cs="Arial"/>
        </w:rPr>
        <w:t xml:space="preserve">The relevant </w:t>
      </w:r>
      <w:r w:rsidR="00E227AA">
        <w:rPr>
          <w:rFonts w:cs="Arial"/>
        </w:rPr>
        <w:t>Codex</w:t>
      </w:r>
      <w:r>
        <w:rPr>
          <w:rFonts w:cs="Arial"/>
        </w:rPr>
        <w:t xml:space="preserve"> standard is the </w:t>
      </w:r>
      <w:hyperlink r:id="rId20" w:history="1">
        <w:r>
          <w:rPr>
            <w:rStyle w:val="Hyperlink"/>
          </w:rPr>
          <w:t>Codex General Standard for Irradiated Foods</w:t>
        </w:r>
      </w:hyperlink>
      <w:r>
        <w:rPr>
          <w:rFonts w:cs="Arial"/>
        </w:rPr>
        <w:t xml:space="preserve"> </w:t>
      </w:r>
      <w:r w:rsidR="00E227AA" w:rsidRPr="00276FF2">
        <w:t>(CX</w:t>
      </w:r>
      <w:r w:rsidR="00116ACB">
        <w:t>S</w:t>
      </w:r>
      <w:r w:rsidR="00E227AA" w:rsidRPr="00276FF2">
        <w:t xml:space="preserve"> 106</w:t>
      </w:r>
      <w:r w:rsidR="00116ACB">
        <w:t>-</w:t>
      </w:r>
      <w:r w:rsidR="00E227AA" w:rsidRPr="00276FF2">
        <w:t>1983, Rev.1-2003) (CAC 2003)</w:t>
      </w:r>
      <w:r w:rsidR="00E227AA">
        <w:t xml:space="preserve">. </w:t>
      </w:r>
      <w:r w:rsidR="00330E97">
        <w:t>Under this standard, f</w:t>
      </w:r>
      <w:r>
        <w:rPr>
          <w:rFonts w:cs="Arial"/>
        </w:rPr>
        <w:t>ood may be irradiated to a maximum dose of 10 kGy, provided irradiation fulfils a technological requirement and/or is beneficial in protecting consumer health.</w:t>
      </w:r>
      <w:r w:rsidR="008252C7">
        <w:rPr>
          <w:rFonts w:cs="Arial"/>
        </w:rPr>
        <w:t xml:space="preserve"> T</w:t>
      </w:r>
      <w:r w:rsidR="008252C7">
        <w:t>his</w:t>
      </w:r>
      <w:r w:rsidR="00330E97">
        <w:t xml:space="preserve"> standard </w:t>
      </w:r>
      <w:r w:rsidR="008252C7">
        <w:t xml:space="preserve">also </w:t>
      </w:r>
      <w:r w:rsidR="00276FF2" w:rsidRPr="00276FF2">
        <w:t>states that irradiation must not be used as a substitute for good hygienic and good manufacturing practices or good agricultural practices.</w:t>
      </w:r>
    </w:p>
    <w:p w14:paraId="33A914F6" w14:textId="77777777" w:rsidR="00276FF2" w:rsidRPr="00276FF2" w:rsidRDefault="00276FF2" w:rsidP="00A10D23">
      <w:pPr>
        <w:tabs>
          <w:tab w:val="left" w:pos="993"/>
        </w:tabs>
      </w:pPr>
    </w:p>
    <w:p w14:paraId="70F84327" w14:textId="592ECE81" w:rsidR="00680AEF" w:rsidRDefault="00AC4D80" w:rsidP="00A10D23">
      <w:pPr>
        <w:tabs>
          <w:tab w:val="left" w:pos="993"/>
        </w:tabs>
      </w:pPr>
      <w:r>
        <w:t xml:space="preserve">The </w:t>
      </w:r>
      <w:hyperlink r:id="rId21" w:history="1">
        <w:r w:rsidRPr="005373B3">
          <w:rPr>
            <w:rStyle w:val="Hyperlink"/>
          </w:rPr>
          <w:t>Codex General Standard for the Labelling of Prepackaged Foods</w:t>
        </w:r>
      </w:hyperlink>
      <w:r>
        <w:t xml:space="preserve"> (CXS 1-1985) includes specifications for the labelling of irradiated foods</w:t>
      </w:r>
      <w:r w:rsidR="000C711B">
        <w:t xml:space="preserve">, including when an irradiated product is used as an ingredient in another food. This standard states the use of the international food irradiation symbol (the Radura symbol) is optional, but specifies conditions for its use. </w:t>
      </w:r>
    </w:p>
    <w:p w14:paraId="784AA4F7" w14:textId="77777777" w:rsidR="00680AEF" w:rsidRDefault="00680AEF" w:rsidP="00A10D23">
      <w:pPr>
        <w:tabs>
          <w:tab w:val="left" w:pos="993"/>
        </w:tabs>
      </w:pPr>
    </w:p>
    <w:p w14:paraId="47C0E997" w14:textId="04861C8B" w:rsidR="00E227AA" w:rsidRDefault="00E227AA" w:rsidP="00A10D23">
      <w:pPr>
        <w:tabs>
          <w:tab w:val="left" w:pos="993"/>
        </w:tabs>
      </w:pPr>
      <w:r>
        <w:t>The IPPC sets internationally recognised protocols and standards for food irradiation including the</w:t>
      </w:r>
      <w:r w:rsidRPr="00E227AA">
        <w:t xml:space="preserve"> International Standard for Phytosanitary Measures 18 (ISPM 18) – </w:t>
      </w:r>
      <w:r w:rsidRPr="00E227AA">
        <w:rPr>
          <w:i/>
        </w:rPr>
        <w:t>Guidelines for the use of irradiation as a phytosanitary measure</w:t>
      </w:r>
      <w:r>
        <w:t xml:space="preserve"> </w:t>
      </w:r>
      <w:r w:rsidRPr="00E227AA">
        <w:t>(FAO IPPC 2003)</w:t>
      </w:r>
      <w:r>
        <w:t xml:space="preserve"> and</w:t>
      </w:r>
      <w:r w:rsidRPr="00E227AA">
        <w:t xml:space="preserve"> ISPM 28 – </w:t>
      </w:r>
      <w:r w:rsidRPr="00E227AA">
        <w:rPr>
          <w:i/>
        </w:rPr>
        <w:t>Phytosanitary treatments for regulated pests</w:t>
      </w:r>
      <w:r>
        <w:t xml:space="preserve">, with </w:t>
      </w:r>
      <w:r w:rsidRPr="00E227AA">
        <w:t>Part 7 being specific to fruit flies (FAO IPPC 200</w:t>
      </w:r>
      <w:r w:rsidR="00F13A9A">
        <w:t>9</w:t>
      </w:r>
      <w:r w:rsidRPr="00E227AA">
        <w:t>).</w:t>
      </w:r>
      <w:r w:rsidR="002957CC" w:rsidRPr="002957CC">
        <w:t xml:space="preserve"> See </w:t>
      </w:r>
      <w:r w:rsidR="008D6182">
        <w:t>Section 2.5 of SD</w:t>
      </w:r>
      <w:r w:rsidR="002957CC">
        <w:t>1 for further details regarding these international standards.</w:t>
      </w:r>
    </w:p>
    <w:p w14:paraId="4C730265" w14:textId="77777777" w:rsidR="00E227AA" w:rsidRDefault="00E227AA" w:rsidP="00A10D23">
      <w:pPr>
        <w:tabs>
          <w:tab w:val="left" w:pos="993"/>
        </w:tabs>
      </w:pPr>
    </w:p>
    <w:p w14:paraId="007BC63D" w14:textId="6BB7940A" w:rsidR="00276FF2" w:rsidRDefault="002957CC" w:rsidP="00276FF2">
      <w:pPr>
        <w:tabs>
          <w:tab w:val="left" w:pos="993"/>
        </w:tabs>
        <w:rPr>
          <w:rFonts w:cs="Arial"/>
        </w:rPr>
      </w:pPr>
      <w:r>
        <w:t>In addition, t</w:t>
      </w:r>
      <w:r w:rsidR="00E227AA">
        <w:t>he</w:t>
      </w:r>
      <w:r>
        <w:t xml:space="preserve"> EU, as well as a number of </w:t>
      </w:r>
      <w:r w:rsidR="00E227AA">
        <w:t>countries worldwide</w:t>
      </w:r>
      <w:r>
        <w:t xml:space="preserve">, have </w:t>
      </w:r>
      <w:r w:rsidR="00E227AA">
        <w:t xml:space="preserve">specific, national regulations covering the irradiation of food, including fresh </w:t>
      </w:r>
      <w:r w:rsidR="00DD4AC0">
        <w:t xml:space="preserve">fruit </w:t>
      </w:r>
      <w:r w:rsidR="00E227AA">
        <w:t xml:space="preserve">and vegetables. </w:t>
      </w:r>
      <w:r w:rsidR="00276FF2">
        <w:rPr>
          <w:rFonts w:cs="Arial"/>
        </w:rPr>
        <w:t xml:space="preserve">Amending the Code </w:t>
      </w:r>
      <w:r w:rsidR="00B671A2">
        <w:rPr>
          <w:rFonts w:cs="Arial"/>
        </w:rPr>
        <w:t xml:space="preserve">as requested </w:t>
      </w:r>
      <w:r w:rsidR="00595DE6">
        <w:rPr>
          <w:rFonts w:cs="Arial"/>
        </w:rPr>
        <w:t>will</w:t>
      </w:r>
      <w:r w:rsidR="00276FF2">
        <w:rPr>
          <w:rFonts w:cs="Arial"/>
        </w:rPr>
        <w:t xml:space="preserve"> bring Australian and New Zealand standards more into line with Codex and other countries</w:t>
      </w:r>
      <w:r w:rsidR="00F83746">
        <w:rPr>
          <w:rFonts w:cs="Arial"/>
        </w:rPr>
        <w:t>’ regulations</w:t>
      </w:r>
      <w:r w:rsidR="00B671A2">
        <w:rPr>
          <w:rFonts w:cs="Arial"/>
        </w:rPr>
        <w:t xml:space="preserve">. </w:t>
      </w:r>
      <w:r w:rsidR="00B671A2">
        <w:t xml:space="preserve">See </w:t>
      </w:r>
      <w:r w:rsidR="00AF38B0">
        <w:rPr>
          <w:lang w:bidi="ar-SA"/>
        </w:rPr>
        <w:fldChar w:fldCharType="begin"/>
      </w:r>
      <w:r w:rsidR="00AF38B0">
        <w:instrText xml:space="preserve"> REF _Ref65681589 \h </w:instrText>
      </w:r>
      <w:r w:rsidR="00AF38B0">
        <w:rPr>
          <w:lang w:bidi="ar-SA"/>
        </w:rPr>
      </w:r>
      <w:r w:rsidR="00AF38B0">
        <w:rPr>
          <w:lang w:bidi="ar-SA"/>
        </w:rPr>
        <w:fldChar w:fldCharType="separate"/>
      </w:r>
      <w:r w:rsidR="00A67B9C">
        <w:t xml:space="preserve">Appendix </w:t>
      </w:r>
      <w:r w:rsidR="00A67B9C">
        <w:rPr>
          <w:noProof/>
        </w:rPr>
        <w:t>1</w:t>
      </w:r>
      <w:r w:rsidR="00AF38B0">
        <w:rPr>
          <w:lang w:bidi="ar-SA"/>
        </w:rPr>
        <w:fldChar w:fldCharType="end"/>
      </w:r>
      <w:r w:rsidR="00B671A2">
        <w:rPr>
          <w:lang w:bidi="ar-SA"/>
        </w:rPr>
        <w:t xml:space="preserve"> for a summary of specific countries’ permissions for irradiated foods</w:t>
      </w:r>
      <w:r w:rsidR="00B671A2">
        <w:t>.</w:t>
      </w:r>
    </w:p>
    <w:p w14:paraId="56C0974A" w14:textId="5DC40884" w:rsidR="007A53BF" w:rsidRPr="007A53BF" w:rsidRDefault="007A53BF" w:rsidP="00CE59AA">
      <w:pPr>
        <w:pStyle w:val="Heading2"/>
        <w:rPr>
          <w:u w:color="FFFF00"/>
        </w:rPr>
      </w:pPr>
      <w:bookmarkStart w:id="73" w:name="_Toc65149689"/>
      <w:bookmarkStart w:id="74" w:name="_Toc65507073"/>
      <w:bookmarkStart w:id="75" w:name="_Toc65684138"/>
      <w:bookmarkStart w:id="76" w:name="_Toc71204365"/>
      <w:r w:rsidRPr="007A53BF">
        <w:rPr>
          <w:u w:color="FFFF00"/>
        </w:rPr>
        <w:t>1.</w:t>
      </w:r>
      <w:r w:rsidR="00F83746">
        <w:rPr>
          <w:u w:color="FFFF00"/>
        </w:rPr>
        <w:t>5</w:t>
      </w:r>
      <w:r w:rsidRPr="007A53BF">
        <w:rPr>
          <w:u w:color="FFFF00"/>
        </w:rPr>
        <w:tab/>
        <w:t xml:space="preserve">Reasons </w:t>
      </w:r>
      <w:r w:rsidRPr="00A10D23">
        <w:rPr>
          <w:u w:color="FFFF00"/>
        </w:rPr>
        <w:t xml:space="preserve">for </w:t>
      </w:r>
      <w:r w:rsidR="00A10D23" w:rsidRPr="00A10D23">
        <w:rPr>
          <w:u w:color="FFFF00"/>
        </w:rPr>
        <w:t>accepting a</w:t>
      </w:r>
      <w:r w:rsidRPr="00A10D23">
        <w:rPr>
          <w:u w:color="FFFF00"/>
        </w:rPr>
        <w:t>pplication</w:t>
      </w:r>
      <w:bookmarkEnd w:id="40"/>
      <w:bookmarkEnd w:id="73"/>
      <w:bookmarkEnd w:id="74"/>
      <w:bookmarkEnd w:id="75"/>
      <w:bookmarkEnd w:id="76"/>
      <w:r w:rsidRPr="00A10D23">
        <w:rPr>
          <w:u w:color="FFFF00"/>
        </w:rPr>
        <w:t xml:space="preserve"> </w:t>
      </w:r>
      <w:bookmarkEnd w:id="41"/>
      <w:bookmarkEnd w:id="42"/>
    </w:p>
    <w:bookmarkEnd w:id="43"/>
    <w:p w14:paraId="1A24ABDA" w14:textId="77777777" w:rsidR="00A10D23" w:rsidRDefault="00A10D23" w:rsidP="00A10D23">
      <w:r w:rsidRPr="00577291">
        <w:t>The application was accepted for assessment because:</w:t>
      </w:r>
    </w:p>
    <w:p w14:paraId="0BE1846B" w14:textId="77777777" w:rsidR="00A10D23" w:rsidRPr="00577291" w:rsidRDefault="00A10D23" w:rsidP="00A10D23"/>
    <w:p w14:paraId="65A1B584" w14:textId="1FC7389A" w:rsidR="00A10D23" w:rsidRDefault="00A10D23" w:rsidP="00E01B62">
      <w:pPr>
        <w:pStyle w:val="ListParagraph"/>
        <w:numPr>
          <w:ilvl w:val="0"/>
          <w:numId w:val="4"/>
        </w:numPr>
        <w:ind w:left="426" w:hanging="426"/>
      </w:pPr>
      <w:r w:rsidRPr="00577291">
        <w:t>it complied with the procedural requirements under su</w:t>
      </w:r>
      <w:r>
        <w:t xml:space="preserve">bsection 22(2) of the </w:t>
      </w:r>
      <w:r w:rsidRPr="00A36CF1">
        <w:rPr>
          <w:i/>
        </w:rPr>
        <w:t>Food Standards Australia New Zealand Act 1991</w:t>
      </w:r>
      <w:r w:rsidRPr="00334FCA">
        <w:t xml:space="preserve"> </w:t>
      </w:r>
      <w:r>
        <w:t>(FSANZ Act) and</w:t>
      </w:r>
    </w:p>
    <w:p w14:paraId="236DBE77" w14:textId="366900F2" w:rsidR="007A53BF" w:rsidRPr="00A10D23" w:rsidRDefault="00A10D23" w:rsidP="00E01B62">
      <w:pPr>
        <w:pStyle w:val="ListParagraph"/>
        <w:numPr>
          <w:ilvl w:val="0"/>
          <w:numId w:val="4"/>
        </w:numPr>
        <w:ind w:left="426" w:hanging="426"/>
      </w:pPr>
      <w:r w:rsidRPr="00577291">
        <w:t>it related to a matter that might be developed as a food regulatory measure</w:t>
      </w:r>
      <w:r w:rsidR="007A53BF" w:rsidRPr="00A10D23">
        <w:rPr>
          <w:color w:val="00B050"/>
        </w:rPr>
        <w:t>.</w:t>
      </w:r>
    </w:p>
    <w:p w14:paraId="4430AC01" w14:textId="1BE03F8A" w:rsidR="007A53BF" w:rsidRPr="007A53BF" w:rsidRDefault="007A53BF" w:rsidP="00CE59AA">
      <w:pPr>
        <w:pStyle w:val="Heading2"/>
      </w:pPr>
      <w:bookmarkStart w:id="77" w:name="_Toc370223469"/>
      <w:bookmarkStart w:id="78" w:name="_Toc65149690"/>
      <w:bookmarkStart w:id="79" w:name="_Toc65507074"/>
      <w:bookmarkStart w:id="80" w:name="_Toc65684139"/>
      <w:bookmarkStart w:id="81" w:name="_Toc71204366"/>
      <w:r w:rsidRPr="007A53BF">
        <w:t>1.</w:t>
      </w:r>
      <w:r w:rsidR="00F83746">
        <w:t>6</w:t>
      </w:r>
      <w:r w:rsidRPr="007A53BF">
        <w:tab/>
        <w:t>Procedure for assessment</w:t>
      </w:r>
      <w:bookmarkEnd w:id="77"/>
      <w:bookmarkEnd w:id="78"/>
      <w:bookmarkEnd w:id="79"/>
      <w:bookmarkEnd w:id="80"/>
      <w:bookmarkEnd w:id="81"/>
    </w:p>
    <w:p w14:paraId="1A4374DD" w14:textId="0A837781" w:rsidR="00AF397D" w:rsidRDefault="00AF397D" w:rsidP="00AF397D">
      <w:r w:rsidRPr="00A10D23">
        <w:t xml:space="preserve">The </w:t>
      </w:r>
      <w:r w:rsidR="00A10D23" w:rsidRPr="00A10D23">
        <w:t>application</w:t>
      </w:r>
      <w:r w:rsidRPr="00A10D23">
        <w:t xml:space="preserve"> was assessed </w:t>
      </w:r>
      <w:r w:rsidR="00CF6529">
        <w:t>as a</w:t>
      </w:r>
      <w:r w:rsidRPr="00A10D23">
        <w:t xml:space="preserve"> General </w:t>
      </w:r>
      <w:r>
        <w:t>P</w:t>
      </w:r>
      <w:r w:rsidRPr="00932F14">
        <w:t>rocedure.</w:t>
      </w:r>
    </w:p>
    <w:p w14:paraId="28E6F53D" w14:textId="2127CCC6" w:rsidR="00422EC9" w:rsidRDefault="007A53BF" w:rsidP="00422EC9">
      <w:pPr>
        <w:pStyle w:val="Heading2"/>
      </w:pPr>
      <w:bookmarkStart w:id="82" w:name="_Toc65149691"/>
      <w:bookmarkStart w:id="83" w:name="_Toc65507075"/>
      <w:bookmarkStart w:id="84" w:name="_Toc65684140"/>
      <w:bookmarkStart w:id="85" w:name="_Toc71204367"/>
      <w:r>
        <w:t>1</w:t>
      </w:r>
      <w:r w:rsidR="00422EC9">
        <w:t>.</w:t>
      </w:r>
      <w:r w:rsidR="00F83746">
        <w:t>7</w:t>
      </w:r>
      <w:r w:rsidR="00422EC9">
        <w:tab/>
      </w:r>
      <w:r w:rsidR="00422EC9" w:rsidRPr="00932F14">
        <w:t>Decision</w:t>
      </w:r>
      <w:bookmarkEnd w:id="82"/>
      <w:bookmarkEnd w:id="83"/>
      <w:bookmarkEnd w:id="84"/>
      <w:bookmarkEnd w:id="85"/>
    </w:p>
    <w:p w14:paraId="22FB18BF" w14:textId="77777777" w:rsidR="00806E8B" w:rsidRPr="00806E8B" w:rsidRDefault="00806E8B" w:rsidP="00806E8B">
      <w:pPr>
        <w:rPr>
          <w:szCs w:val="22"/>
        </w:rPr>
      </w:pPr>
      <w:r w:rsidRPr="00806E8B">
        <w:rPr>
          <w:szCs w:val="22"/>
        </w:rPr>
        <w:t xml:space="preserve">The draft variation as proposed following assessment was approved with an amendment. The variation takes effect on gazettal. The approved draft variation, as amended after consideration of submissions, is at Attachment A. </w:t>
      </w:r>
    </w:p>
    <w:p w14:paraId="15F11E6C" w14:textId="77777777" w:rsidR="00806E8B" w:rsidRPr="00806E8B" w:rsidRDefault="00806E8B" w:rsidP="00806E8B">
      <w:pPr>
        <w:rPr>
          <w:szCs w:val="22"/>
        </w:rPr>
      </w:pPr>
    </w:p>
    <w:p w14:paraId="5E28D034" w14:textId="77777777" w:rsidR="00806E8B" w:rsidRPr="00806E8B" w:rsidRDefault="00806E8B" w:rsidP="00806E8B">
      <w:pPr>
        <w:rPr>
          <w:szCs w:val="22"/>
        </w:rPr>
      </w:pPr>
      <w:r w:rsidRPr="00806E8B">
        <w:rPr>
          <w:szCs w:val="22"/>
        </w:rPr>
        <w:t xml:space="preserve">The related explanatory statement is at Attachment B. An explanatory statement is required to accompany an instrument if it is lodged on the Federal Register of Legislation. </w:t>
      </w:r>
    </w:p>
    <w:p w14:paraId="5EC832DB" w14:textId="77777777" w:rsidR="00806E8B" w:rsidRPr="00806E8B" w:rsidRDefault="00806E8B" w:rsidP="00806E8B">
      <w:pPr>
        <w:rPr>
          <w:szCs w:val="22"/>
          <w:u w:val="single"/>
        </w:rPr>
      </w:pPr>
    </w:p>
    <w:p w14:paraId="4153DED7" w14:textId="77777777" w:rsidR="00806E8B" w:rsidRPr="00806E8B" w:rsidRDefault="00806E8B" w:rsidP="00806E8B">
      <w:pPr>
        <w:pStyle w:val="CommentText"/>
        <w:rPr>
          <w:sz w:val="22"/>
          <w:szCs w:val="22"/>
        </w:rPr>
      </w:pPr>
      <w:r w:rsidRPr="00806E8B">
        <w:rPr>
          <w:sz w:val="22"/>
          <w:szCs w:val="22"/>
        </w:rPr>
        <w:t xml:space="preserve">The draft variation on which submissions were sought is at Attachment C. </w:t>
      </w:r>
    </w:p>
    <w:p w14:paraId="4998AB6E" w14:textId="77777777" w:rsidR="00806E8B" w:rsidRPr="00806E8B" w:rsidRDefault="00806E8B" w:rsidP="00806E8B">
      <w:pPr>
        <w:pStyle w:val="CommentText"/>
        <w:rPr>
          <w:sz w:val="22"/>
          <w:szCs w:val="22"/>
        </w:rPr>
      </w:pPr>
    </w:p>
    <w:p w14:paraId="00F58630" w14:textId="4932FE1D" w:rsidR="00806E8B" w:rsidRPr="00806E8B" w:rsidRDefault="00806E8B" w:rsidP="00806E8B">
      <w:pPr>
        <w:pStyle w:val="CommentText"/>
        <w:rPr>
          <w:sz w:val="22"/>
          <w:szCs w:val="22"/>
        </w:rPr>
      </w:pPr>
      <w:r w:rsidRPr="00806E8B">
        <w:rPr>
          <w:sz w:val="22"/>
          <w:szCs w:val="22"/>
        </w:rPr>
        <w:t xml:space="preserve">The amendment made to the draft variation was a consequential amendment to Note 1 of Schedule 22. The amendment makes it clear that a purpose of Schedule 22 is to describe foods and classes of foods for the purposes of subsection 1.5.3—3(2). The need for this amendment was overlooked at the time the draft variation was prepared. </w:t>
      </w:r>
    </w:p>
    <w:p w14:paraId="06CD3736" w14:textId="77777777" w:rsidR="0012388D" w:rsidRDefault="007A53BF" w:rsidP="00755F02">
      <w:pPr>
        <w:pStyle w:val="Heading1"/>
      </w:pPr>
      <w:bookmarkStart w:id="86" w:name="_Toc65149692"/>
      <w:bookmarkStart w:id="87" w:name="_Toc65507076"/>
      <w:bookmarkStart w:id="88" w:name="_Toc65684141"/>
      <w:bookmarkStart w:id="89" w:name="_Toc71204368"/>
      <w:bookmarkStart w:id="90" w:name="_Toc11735630"/>
      <w:bookmarkStart w:id="91" w:name="_Toc29883114"/>
      <w:bookmarkStart w:id="92" w:name="_Toc41906801"/>
      <w:bookmarkStart w:id="93" w:name="_Toc41907548"/>
      <w:bookmarkStart w:id="94" w:name="_Toc120358578"/>
      <w:bookmarkStart w:id="95" w:name="_Toc175381435"/>
      <w:bookmarkEnd w:id="8"/>
      <w:bookmarkEnd w:id="9"/>
      <w:bookmarkEnd w:id="10"/>
      <w:bookmarkEnd w:id="11"/>
      <w:bookmarkEnd w:id="12"/>
      <w:r>
        <w:t>2</w:t>
      </w:r>
      <w:r w:rsidR="00AC428E">
        <w:tab/>
      </w:r>
      <w:r w:rsidR="00AF387F" w:rsidRPr="00CC560B">
        <w:t xml:space="preserve">Summary </w:t>
      </w:r>
      <w:r w:rsidR="00AF387F" w:rsidRPr="000B6AF2">
        <w:rPr>
          <w:u w:color="FFFF00"/>
        </w:rPr>
        <w:t>of</w:t>
      </w:r>
      <w:r w:rsidR="00AF387F" w:rsidRPr="00CC560B">
        <w:t xml:space="preserve"> the findings</w:t>
      </w:r>
      <w:bookmarkEnd w:id="86"/>
      <w:bookmarkEnd w:id="87"/>
      <w:bookmarkEnd w:id="88"/>
      <w:bookmarkEnd w:id="89"/>
    </w:p>
    <w:p w14:paraId="48A93559" w14:textId="0559B068" w:rsidR="007E6DD5" w:rsidRDefault="007A53BF" w:rsidP="007A53BF">
      <w:pPr>
        <w:pStyle w:val="Heading2"/>
      </w:pPr>
      <w:bookmarkStart w:id="96" w:name="_Toc65149693"/>
      <w:bookmarkStart w:id="97" w:name="_Toc65507077"/>
      <w:bookmarkStart w:id="98" w:name="_Toc65684142"/>
      <w:bookmarkStart w:id="99" w:name="_Toc71204369"/>
      <w:bookmarkStart w:id="100" w:name="_Toc300933438"/>
      <w:bookmarkStart w:id="101" w:name="_Toc370223471"/>
      <w:bookmarkStart w:id="102" w:name="_Toc370225386"/>
      <w:bookmarkStart w:id="103" w:name="_Toc286391009"/>
      <w:bookmarkStart w:id="104" w:name="_Toc300933425"/>
      <w:bookmarkStart w:id="105" w:name="_Toc309291838"/>
      <w:bookmarkStart w:id="106" w:name="_Toc309385455"/>
      <w:bookmarkStart w:id="107" w:name="_Toc120358583"/>
      <w:bookmarkStart w:id="108" w:name="_Toc175381440"/>
      <w:r w:rsidRPr="002C1A3B">
        <w:t>2.1</w:t>
      </w:r>
      <w:r w:rsidRPr="002C1A3B">
        <w:tab/>
      </w:r>
      <w:r w:rsidR="007E6DD5">
        <w:t>Submissions received</w:t>
      </w:r>
      <w:bookmarkEnd w:id="96"/>
      <w:bookmarkEnd w:id="97"/>
      <w:bookmarkEnd w:id="98"/>
      <w:bookmarkEnd w:id="99"/>
    </w:p>
    <w:p w14:paraId="54B6F046" w14:textId="2B5AB6CE" w:rsidR="00965350" w:rsidRPr="001B3BE4" w:rsidRDefault="007E6DD5" w:rsidP="007E6DD5">
      <w:pPr>
        <w:rPr>
          <w:rStyle w:val="Hyperlink"/>
          <w:rFonts w:cs="Arial"/>
          <w:color w:val="auto"/>
          <w:szCs w:val="22"/>
          <w:lang w:bidi="ar-SA"/>
        </w:rPr>
      </w:pPr>
      <w:r w:rsidRPr="00A10D23">
        <w:rPr>
          <w:rFonts w:cs="Arial"/>
          <w:szCs w:val="22"/>
          <w:lang w:bidi="ar-SA"/>
        </w:rPr>
        <w:t xml:space="preserve">FSANZ called for submissions on a </w:t>
      </w:r>
      <w:r>
        <w:rPr>
          <w:rFonts w:cs="Arial"/>
          <w:szCs w:val="22"/>
          <w:lang w:bidi="ar-SA"/>
        </w:rPr>
        <w:t xml:space="preserve">proposed </w:t>
      </w:r>
      <w:r w:rsidRPr="00A10D23">
        <w:rPr>
          <w:rFonts w:cs="Arial"/>
          <w:szCs w:val="22"/>
          <w:lang w:bidi="ar-SA"/>
        </w:rPr>
        <w:t>draft variation</w:t>
      </w:r>
      <w:r w:rsidR="003C0ED1">
        <w:rPr>
          <w:rFonts w:cs="Arial"/>
          <w:szCs w:val="22"/>
          <w:lang w:bidi="ar-SA"/>
        </w:rPr>
        <w:t xml:space="preserve"> to the Code</w:t>
      </w:r>
      <w:r w:rsidRPr="00A10D23">
        <w:rPr>
          <w:rFonts w:cs="Arial"/>
          <w:szCs w:val="22"/>
          <w:lang w:bidi="ar-SA"/>
        </w:rPr>
        <w:t xml:space="preserve"> on 30 October 2020. </w:t>
      </w:r>
      <w:r>
        <w:rPr>
          <w:rFonts w:cs="Arial"/>
          <w:szCs w:val="22"/>
          <w:lang w:bidi="ar-SA"/>
        </w:rPr>
        <w:t>A total of 480</w:t>
      </w:r>
      <w:r w:rsidRPr="0062016D">
        <w:rPr>
          <w:rFonts w:cs="Arial"/>
          <w:szCs w:val="22"/>
          <w:lang w:bidi="ar-SA"/>
        </w:rPr>
        <w:t xml:space="preserve"> </w:t>
      </w:r>
      <w:r w:rsidR="002844B1">
        <w:rPr>
          <w:rFonts w:cs="Arial"/>
          <w:szCs w:val="22"/>
          <w:lang w:bidi="ar-SA"/>
        </w:rPr>
        <w:t xml:space="preserve">eligible </w:t>
      </w:r>
      <w:r w:rsidRPr="0062016D">
        <w:rPr>
          <w:rFonts w:cs="Arial"/>
          <w:szCs w:val="22"/>
          <w:lang w:bidi="ar-SA"/>
        </w:rPr>
        <w:t>submissions were received</w:t>
      </w:r>
      <w:r w:rsidR="003C0ED1">
        <w:rPr>
          <w:rFonts w:cs="Arial"/>
          <w:szCs w:val="22"/>
          <w:lang w:bidi="ar-SA"/>
        </w:rPr>
        <w:t xml:space="preserve"> with private individuals making up the majority of submissions. </w:t>
      </w:r>
      <w:r w:rsidRPr="0062016D">
        <w:rPr>
          <w:rFonts w:cs="Arial"/>
          <w:szCs w:val="22"/>
          <w:lang w:bidi="ar-SA"/>
        </w:rPr>
        <w:t>Of the</w:t>
      </w:r>
      <w:r w:rsidR="003C0ED1">
        <w:rPr>
          <w:rFonts w:cs="Arial"/>
          <w:szCs w:val="22"/>
          <w:lang w:bidi="ar-SA"/>
        </w:rPr>
        <w:t xml:space="preserve"> total</w:t>
      </w:r>
      <w:r w:rsidRPr="0062016D">
        <w:rPr>
          <w:rFonts w:cs="Arial"/>
          <w:szCs w:val="22"/>
          <w:lang w:bidi="ar-SA"/>
        </w:rPr>
        <w:t>, 456 were unsupportive and 24 were supportive of the application. Of those that were unsupportive, 156 were based on a ‘sample letter’ provided by Friends of the Earth on their website</w:t>
      </w:r>
      <w:r>
        <w:rPr>
          <w:rFonts w:cs="Arial"/>
          <w:szCs w:val="22"/>
          <w:lang w:bidi="ar-SA"/>
        </w:rPr>
        <w:t>:</w:t>
      </w:r>
      <w:r w:rsidR="008A7A4E">
        <w:rPr>
          <w:rFonts w:cs="Arial"/>
          <w:szCs w:val="22"/>
          <w:lang w:bidi="ar-SA"/>
        </w:rPr>
        <w:t xml:space="preserve"> </w:t>
      </w:r>
      <w:hyperlink r:id="rId22" w:history="1">
        <w:r w:rsidRPr="006F0DFE">
          <w:rPr>
            <w:rStyle w:val="Hyperlink"/>
            <w:rFonts w:cs="Arial"/>
            <w:szCs w:val="22"/>
            <w:lang w:bidi="ar-SA"/>
          </w:rPr>
          <w:t>https://www.foe.org.au/queensland_irradiation</w:t>
        </w:r>
      </w:hyperlink>
      <w:r w:rsidR="00965350">
        <w:rPr>
          <w:rStyle w:val="Hyperlink"/>
          <w:rFonts w:cs="Arial"/>
          <w:szCs w:val="22"/>
          <w:lang w:bidi="ar-SA"/>
        </w:rPr>
        <w:t xml:space="preserve">. </w:t>
      </w:r>
    </w:p>
    <w:p w14:paraId="7390E94C" w14:textId="77777777" w:rsidR="00965350" w:rsidRPr="001B3BE4" w:rsidRDefault="00965350" w:rsidP="007E6DD5">
      <w:pPr>
        <w:rPr>
          <w:rStyle w:val="Hyperlink"/>
          <w:rFonts w:cs="Arial"/>
          <w:color w:val="auto"/>
          <w:szCs w:val="22"/>
          <w:lang w:bidi="ar-SA"/>
        </w:rPr>
      </w:pPr>
    </w:p>
    <w:p w14:paraId="1EF8152D" w14:textId="277941FE" w:rsidR="007E6DD5" w:rsidRDefault="00965350" w:rsidP="007E6DD5">
      <w:pPr>
        <w:rPr>
          <w:rFonts w:cs="Arial"/>
          <w:szCs w:val="22"/>
          <w:lang w:bidi="ar-SA"/>
        </w:rPr>
      </w:pPr>
      <w:r w:rsidRPr="002844B1">
        <w:t xml:space="preserve">A copy of the ‘sample letter’ has also been saved to the FSANZ webpage for A1193: </w:t>
      </w:r>
      <w:hyperlink r:id="rId23" w:history="1">
        <w:r w:rsidRPr="00A3788C">
          <w:rPr>
            <w:rStyle w:val="Hyperlink"/>
            <w:rFonts w:cs="Arial"/>
            <w:szCs w:val="22"/>
            <w:lang w:bidi="ar-SA"/>
          </w:rPr>
          <w:t>https://www.foodstandards.gov.au/code/applications/Documents/A1193%20Campaign%20Letter.pdf?csf=1&amp;e=pVD2WM</w:t>
        </w:r>
      </w:hyperlink>
      <w:r w:rsidR="003F2560">
        <w:rPr>
          <w:rStyle w:val="Hyperlink"/>
          <w:rFonts w:cs="Arial"/>
          <w:szCs w:val="22"/>
          <w:lang w:bidi="ar-SA"/>
        </w:rPr>
        <w:t>.</w:t>
      </w:r>
    </w:p>
    <w:p w14:paraId="64DFCF37" w14:textId="77777777" w:rsidR="00B4748E" w:rsidRDefault="00B4748E" w:rsidP="007E6DD5">
      <w:pPr>
        <w:rPr>
          <w:rFonts w:cs="Arial"/>
          <w:szCs w:val="22"/>
          <w:lang w:bidi="ar-SA"/>
        </w:rPr>
      </w:pPr>
    </w:p>
    <w:p w14:paraId="746D630A" w14:textId="77777777" w:rsidR="0064716F" w:rsidRDefault="00FC5BF5" w:rsidP="00D04857">
      <w:r>
        <w:t xml:space="preserve">FSANZ had regard to all submissions received.  </w:t>
      </w:r>
    </w:p>
    <w:p w14:paraId="7C89E720" w14:textId="77777777" w:rsidR="0064716F" w:rsidRDefault="0064716F" w:rsidP="00D04857"/>
    <w:p w14:paraId="1E7F80AB" w14:textId="64C696A5" w:rsidR="0024324F" w:rsidRDefault="00C80E88" w:rsidP="00D04857">
      <w:r>
        <w:t>Table 1 provides</w:t>
      </w:r>
      <w:r w:rsidR="0024324F">
        <w:t xml:space="preserve"> a summary of the number of submissions received from various sectors of the community broken down by whether or not they supported the application</w:t>
      </w:r>
      <w:r w:rsidR="00225EBD">
        <w:t>.</w:t>
      </w:r>
      <w:r w:rsidR="0024324F">
        <w:t xml:space="preserve"> </w:t>
      </w:r>
      <w:r w:rsidR="0057083A">
        <w:t xml:space="preserve">Table 2 </w:t>
      </w:r>
      <w:r w:rsidR="00225EBD">
        <w:t xml:space="preserve">categorises the </w:t>
      </w:r>
      <w:r w:rsidR="00F00034">
        <w:t>main</w:t>
      </w:r>
      <w:r w:rsidR="00225EBD">
        <w:t xml:space="preserve"> themes raised in the submissions, by the various submitter groups. The numbers reported in Table 2 </w:t>
      </w:r>
      <w:r w:rsidR="0057083A">
        <w:t xml:space="preserve">are </w:t>
      </w:r>
      <w:r w:rsidR="0024324F">
        <w:t>approximates,</w:t>
      </w:r>
      <w:r w:rsidR="00D55BE8">
        <w:t xml:space="preserve"> as the information </w:t>
      </w:r>
      <w:r w:rsidR="00F27DB9">
        <w:t>contained</w:t>
      </w:r>
      <w:r w:rsidR="00D55BE8">
        <w:t xml:space="preserve"> in each submission </w:t>
      </w:r>
      <w:r w:rsidR="003C0ED1">
        <w:t xml:space="preserve">could not </w:t>
      </w:r>
      <w:r w:rsidR="00225EBD">
        <w:t xml:space="preserve">always </w:t>
      </w:r>
      <w:r w:rsidR="003C0ED1">
        <w:t>be clearly categorised</w:t>
      </w:r>
      <w:r w:rsidR="007D05E2">
        <w:t xml:space="preserve"> into a single theme</w:t>
      </w:r>
      <w:r w:rsidR="003C0ED1">
        <w:t xml:space="preserve"> </w:t>
      </w:r>
      <w:r w:rsidR="007D05E2">
        <w:t>for the purposes of providing the summary below</w:t>
      </w:r>
      <w:r w:rsidR="00D55BE8">
        <w:t>.</w:t>
      </w:r>
    </w:p>
    <w:p w14:paraId="56A54471" w14:textId="77777777" w:rsidR="009F4B28" w:rsidRDefault="009F4B28" w:rsidP="00D04857"/>
    <w:p w14:paraId="5C7C3E8C" w14:textId="302C0BFB" w:rsidR="007E6DD5" w:rsidRPr="007E6DD5" w:rsidRDefault="008539FF" w:rsidP="008539FF">
      <w:pPr>
        <w:pStyle w:val="FSTableHeading"/>
        <w:jc w:val="left"/>
        <w:rPr>
          <w:lang w:bidi="ar-SA"/>
        </w:rPr>
      </w:pPr>
      <w:bookmarkStart w:id="109" w:name="_Ref50620718"/>
      <w:r>
        <w:t xml:space="preserve">Table </w:t>
      </w:r>
      <w:r w:rsidR="00DC604B">
        <w:fldChar w:fldCharType="begin"/>
      </w:r>
      <w:r w:rsidR="00DC604B">
        <w:instrText xml:space="preserve"> SEQ Table \* ARABIC </w:instrText>
      </w:r>
      <w:r w:rsidR="00DC604B">
        <w:fldChar w:fldCharType="separate"/>
      </w:r>
      <w:r w:rsidR="00A67B9C">
        <w:rPr>
          <w:noProof/>
        </w:rPr>
        <w:t>1</w:t>
      </w:r>
      <w:r w:rsidR="00DC604B">
        <w:rPr>
          <w:noProof/>
        </w:rPr>
        <w:fldChar w:fldCharType="end"/>
      </w:r>
      <w:bookmarkEnd w:id="109"/>
      <w:r w:rsidRPr="00722627">
        <w:t>:</w:t>
      </w:r>
      <w:r>
        <w:t xml:space="preserve"> Number of supportive and unsupportive submissions received by submitter group</w:t>
      </w:r>
    </w:p>
    <w:tbl>
      <w:tblPr>
        <w:tblStyle w:val="MediumShading1-Accent3"/>
        <w:tblW w:w="9211" w:type="dxa"/>
        <w:tblInd w:w="-7"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ook w:val="04A0" w:firstRow="1" w:lastRow="0" w:firstColumn="1" w:lastColumn="0" w:noHBand="0" w:noVBand="1"/>
      </w:tblPr>
      <w:tblGrid>
        <w:gridCol w:w="2454"/>
        <w:gridCol w:w="2251"/>
        <w:gridCol w:w="2708"/>
        <w:gridCol w:w="1798"/>
      </w:tblGrid>
      <w:tr w:rsidR="0024324F" w:rsidRPr="008C4E76" w14:paraId="3D5D94D5" w14:textId="77777777" w:rsidTr="000C5D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4" w:type="dxa"/>
            <w:tcBorders>
              <w:top w:val="none" w:sz="0" w:space="0" w:color="auto"/>
              <w:left w:val="none" w:sz="0" w:space="0" w:color="auto"/>
              <w:bottom w:val="none" w:sz="0" w:space="0" w:color="auto"/>
              <w:right w:val="none" w:sz="0" w:space="0" w:color="auto"/>
            </w:tcBorders>
            <w:vAlign w:val="center"/>
          </w:tcPr>
          <w:p w14:paraId="3539368E" w14:textId="5712DD7F" w:rsidR="0024324F" w:rsidRPr="008C4E76" w:rsidRDefault="0024324F" w:rsidP="0024324F">
            <w:pPr>
              <w:pStyle w:val="FSTableHeading"/>
              <w:rPr>
                <w:b/>
              </w:rPr>
            </w:pPr>
            <w:r>
              <w:rPr>
                <w:b/>
              </w:rPr>
              <w:t>Submitter group</w:t>
            </w:r>
          </w:p>
        </w:tc>
        <w:tc>
          <w:tcPr>
            <w:tcW w:w="2251" w:type="dxa"/>
            <w:tcBorders>
              <w:top w:val="none" w:sz="0" w:space="0" w:color="auto"/>
              <w:left w:val="none" w:sz="0" w:space="0" w:color="auto"/>
              <w:bottom w:val="none" w:sz="0" w:space="0" w:color="auto"/>
              <w:right w:val="none" w:sz="0" w:space="0" w:color="auto"/>
            </w:tcBorders>
            <w:vAlign w:val="center"/>
          </w:tcPr>
          <w:p w14:paraId="545B44B1" w14:textId="0D92E94C" w:rsidR="0024324F" w:rsidRDefault="0024324F" w:rsidP="0017419B">
            <w:pPr>
              <w:pStyle w:val="FSTableText"/>
              <w:jc w:val="center"/>
              <w:cnfStyle w:val="100000000000" w:firstRow="1" w:lastRow="0" w:firstColumn="0" w:lastColumn="0" w:oddVBand="0" w:evenVBand="0" w:oddHBand="0" w:evenHBand="0" w:firstRowFirstColumn="0" w:firstRowLastColumn="0" w:lastRowFirstColumn="0" w:lastRowLastColumn="0"/>
              <w:rPr>
                <w:b w:val="0"/>
              </w:rPr>
            </w:pPr>
            <w:r>
              <w:t>Supportive</w:t>
            </w:r>
          </w:p>
        </w:tc>
        <w:tc>
          <w:tcPr>
            <w:tcW w:w="2708" w:type="dxa"/>
            <w:tcBorders>
              <w:top w:val="none" w:sz="0" w:space="0" w:color="auto"/>
              <w:left w:val="none" w:sz="0" w:space="0" w:color="auto"/>
              <w:bottom w:val="none" w:sz="0" w:space="0" w:color="auto"/>
              <w:right w:val="none" w:sz="0" w:space="0" w:color="auto"/>
            </w:tcBorders>
            <w:vAlign w:val="center"/>
          </w:tcPr>
          <w:p w14:paraId="6EEEC771" w14:textId="40AF5A74" w:rsidR="0024324F" w:rsidRPr="008C4E76" w:rsidRDefault="0024324F" w:rsidP="0017419B">
            <w:pPr>
              <w:pStyle w:val="FSTableHeading"/>
              <w:cnfStyle w:val="100000000000" w:firstRow="1" w:lastRow="0" w:firstColumn="0" w:lastColumn="0" w:oddVBand="0" w:evenVBand="0" w:oddHBand="0" w:evenHBand="0" w:firstRowFirstColumn="0" w:firstRowLastColumn="0" w:lastRowFirstColumn="0" w:lastRowLastColumn="0"/>
              <w:rPr>
                <w:b/>
              </w:rPr>
            </w:pPr>
            <w:r w:rsidRPr="0024324F">
              <w:rPr>
                <w:b/>
              </w:rPr>
              <w:t>Unsupportive</w:t>
            </w:r>
          </w:p>
        </w:tc>
        <w:tc>
          <w:tcPr>
            <w:tcW w:w="1798" w:type="dxa"/>
            <w:tcBorders>
              <w:top w:val="none" w:sz="0" w:space="0" w:color="auto"/>
              <w:left w:val="none" w:sz="0" w:space="0" w:color="auto"/>
              <w:bottom w:val="none" w:sz="0" w:space="0" w:color="auto"/>
              <w:right w:val="none" w:sz="0" w:space="0" w:color="auto"/>
            </w:tcBorders>
            <w:vAlign w:val="center"/>
          </w:tcPr>
          <w:p w14:paraId="59661C6E" w14:textId="1373E50D" w:rsidR="0024324F" w:rsidRPr="008C4E76" w:rsidRDefault="0024324F" w:rsidP="0017419B">
            <w:pPr>
              <w:pStyle w:val="FSTableHeading"/>
              <w:cnfStyle w:val="100000000000" w:firstRow="1" w:lastRow="0" w:firstColumn="0" w:lastColumn="0" w:oddVBand="0" w:evenVBand="0" w:oddHBand="0" w:evenHBand="0" w:firstRowFirstColumn="0" w:firstRowLastColumn="0" w:lastRowFirstColumn="0" w:lastRowLastColumn="0"/>
              <w:rPr>
                <w:b/>
              </w:rPr>
            </w:pPr>
            <w:r>
              <w:rPr>
                <w:b/>
              </w:rPr>
              <w:t>Total</w:t>
            </w:r>
          </w:p>
        </w:tc>
      </w:tr>
      <w:tr w:rsidR="0024324F" w14:paraId="449A71C9" w14:textId="77777777" w:rsidTr="000C5D5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54" w:type="dxa"/>
            <w:tcBorders>
              <w:right w:val="none" w:sz="0" w:space="0" w:color="auto"/>
            </w:tcBorders>
            <w:vAlign w:val="center"/>
          </w:tcPr>
          <w:p w14:paraId="4A23864C" w14:textId="2B08E4AC" w:rsidR="0024324F" w:rsidRPr="0024324F" w:rsidRDefault="0024324F" w:rsidP="009E2AE0">
            <w:pPr>
              <w:pStyle w:val="FSTableText"/>
              <w:rPr>
                <w:b w:val="0"/>
              </w:rPr>
            </w:pPr>
            <w:r w:rsidRPr="0024324F">
              <w:rPr>
                <w:b w:val="0"/>
              </w:rPr>
              <w:t>Private individuals</w:t>
            </w:r>
          </w:p>
        </w:tc>
        <w:tc>
          <w:tcPr>
            <w:tcW w:w="2251" w:type="dxa"/>
            <w:tcBorders>
              <w:left w:val="none" w:sz="0" w:space="0" w:color="auto"/>
              <w:right w:val="none" w:sz="0" w:space="0" w:color="auto"/>
            </w:tcBorders>
            <w:vAlign w:val="center"/>
          </w:tcPr>
          <w:p w14:paraId="299EF933" w14:textId="79CEF7EB" w:rsidR="0024324F" w:rsidRDefault="0017419B" w:rsidP="009E2AE0">
            <w:pPr>
              <w:pStyle w:val="FSTableText"/>
              <w:jc w:val="center"/>
              <w:cnfStyle w:val="000000100000" w:firstRow="0" w:lastRow="0" w:firstColumn="0" w:lastColumn="0" w:oddVBand="0" w:evenVBand="0" w:oddHBand="1" w:evenHBand="0" w:firstRowFirstColumn="0" w:firstRowLastColumn="0" w:lastRowFirstColumn="0" w:lastRowLastColumn="0"/>
            </w:pPr>
            <w:r>
              <w:t>2</w:t>
            </w:r>
          </w:p>
        </w:tc>
        <w:tc>
          <w:tcPr>
            <w:tcW w:w="2708" w:type="dxa"/>
            <w:tcBorders>
              <w:left w:val="none" w:sz="0" w:space="0" w:color="auto"/>
              <w:right w:val="none" w:sz="0" w:space="0" w:color="auto"/>
            </w:tcBorders>
            <w:vAlign w:val="center"/>
          </w:tcPr>
          <w:p w14:paraId="4FE3E00F" w14:textId="2897EC14" w:rsidR="0024324F" w:rsidRPr="000778D6" w:rsidRDefault="0017419B" w:rsidP="009E2AE0">
            <w:pPr>
              <w:pStyle w:val="FSTableText"/>
              <w:jc w:val="center"/>
              <w:cnfStyle w:val="000000100000" w:firstRow="0" w:lastRow="0" w:firstColumn="0" w:lastColumn="0" w:oddVBand="0" w:evenVBand="0" w:oddHBand="1" w:evenHBand="0" w:firstRowFirstColumn="0" w:firstRowLastColumn="0" w:lastRowFirstColumn="0" w:lastRowLastColumn="0"/>
            </w:pPr>
            <w:r>
              <w:t>422</w:t>
            </w:r>
          </w:p>
        </w:tc>
        <w:tc>
          <w:tcPr>
            <w:tcW w:w="1798" w:type="dxa"/>
            <w:tcBorders>
              <w:left w:val="none" w:sz="0" w:space="0" w:color="auto"/>
            </w:tcBorders>
            <w:vAlign w:val="center"/>
          </w:tcPr>
          <w:p w14:paraId="7417801B" w14:textId="13BE77D7" w:rsidR="0024324F" w:rsidRDefault="0017419B" w:rsidP="009E2AE0">
            <w:pPr>
              <w:pStyle w:val="FSTableText"/>
              <w:jc w:val="center"/>
              <w:cnfStyle w:val="000000100000" w:firstRow="0" w:lastRow="0" w:firstColumn="0" w:lastColumn="0" w:oddVBand="0" w:evenVBand="0" w:oddHBand="1" w:evenHBand="0" w:firstRowFirstColumn="0" w:firstRowLastColumn="0" w:lastRowFirstColumn="0" w:lastRowLastColumn="0"/>
            </w:pPr>
            <w:r>
              <w:t>424</w:t>
            </w:r>
          </w:p>
        </w:tc>
      </w:tr>
      <w:tr w:rsidR="0024324F" w14:paraId="7F77D9FE" w14:textId="77777777" w:rsidTr="000C5D5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54" w:type="dxa"/>
            <w:tcBorders>
              <w:right w:val="none" w:sz="0" w:space="0" w:color="auto"/>
            </w:tcBorders>
            <w:vAlign w:val="center"/>
          </w:tcPr>
          <w:p w14:paraId="0D85CC5F" w14:textId="2A5D9270" w:rsidR="0024324F" w:rsidRPr="0024324F" w:rsidRDefault="0024324F" w:rsidP="009E2AE0">
            <w:pPr>
              <w:pStyle w:val="FSTableText"/>
              <w:rPr>
                <w:b w:val="0"/>
              </w:rPr>
            </w:pPr>
            <w:r w:rsidRPr="0024324F">
              <w:rPr>
                <w:b w:val="0"/>
              </w:rPr>
              <w:t>Industry</w:t>
            </w:r>
          </w:p>
        </w:tc>
        <w:tc>
          <w:tcPr>
            <w:tcW w:w="2251" w:type="dxa"/>
            <w:tcBorders>
              <w:left w:val="none" w:sz="0" w:space="0" w:color="auto"/>
              <w:right w:val="none" w:sz="0" w:space="0" w:color="auto"/>
            </w:tcBorders>
            <w:vAlign w:val="center"/>
          </w:tcPr>
          <w:p w14:paraId="4D2C82BC" w14:textId="038D7355" w:rsidR="0024324F" w:rsidRDefault="0017419B" w:rsidP="009E2AE0">
            <w:pPr>
              <w:pStyle w:val="FSTableText"/>
              <w:jc w:val="center"/>
              <w:cnfStyle w:val="000000010000" w:firstRow="0" w:lastRow="0" w:firstColumn="0" w:lastColumn="0" w:oddVBand="0" w:evenVBand="0" w:oddHBand="0" w:evenHBand="1" w:firstRowFirstColumn="0" w:firstRowLastColumn="0" w:lastRowFirstColumn="0" w:lastRowLastColumn="0"/>
            </w:pPr>
            <w:r>
              <w:t>13</w:t>
            </w:r>
          </w:p>
        </w:tc>
        <w:tc>
          <w:tcPr>
            <w:tcW w:w="2708" w:type="dxa"/>
            <w:tcBorders>
              <w:left w:val="none" w:sz="0" w:space="0" w:color="auto"/>
              <w:right w:val="none" w:sz="0" w:space="0" w:color="auto"/>
            </w:tcBorders>
            <w:vAlign w:val="center"/>
          </w:tcPr>
          <w:p w14:paraId="0E1BAF34" w14:textId="0F40D941" w:rsidR="0024324F" w:rsidRPr="000778D6" w:rsidRDefault="0017419B" w:rsidP="009E2AE0">
            <w:pPr>
              <w:pStyle w:val="FSTableText"/>
              <w:jc w:val="center"/>
              <w:cnfStyle w:val="000000010000" w:firstRow="0" w:lastRow="0" w:firstColumn="0" w:lastColumn="0" w:oddVBand="0" w:evenVBand="0" w:oddHBand="0" w:evenHBand="1" w:firstRowFirstColumn="0" w:firstRowLastColumn="0" w:lastRowFirstColumn="0" w:lastRowLastColumn="0"/>
            </w:pPr>
            <w:r>
              <w:t>7</w:t>
            </w:r>
          </w:p>
        </w:tc>
        <w:tc>
          <w:tcPr>
            <w:tcW w:w="1798" w:type="dxa"/>
            <w:tcBorders>
              <w:left w:val="none" w:sz="0" w:space="0" w:color="auto"/>
            </w:tcBorders>
            <w:vAlign w:val="center"/>
          </w:tcPr>
          <w:p w14:paraId="03F8EBB9" w14:textId="49B57752" w:rsidR="0024324F" w:rsidRDefault="0017419B" w:rsidP="009E2AE0">
            <w:pPr>
              <w:pStyle w:val="FSTableText"/>
              <w:jc w:val="center"/>
              <w:cnfStyle w:val="000000010000" w:firstRow="0" w:lastRow="0" w:firstColumn="0" w:lastColumn="0" w:oddVBand="0" w:evenVBand="0" w:oddHBand="0" w:evenHBand="1" w:firstRowFirstColumn="0" w:firstRowLastColumn="0" w:lastRowFirstColumn="0" w:lastRowLastColumn="0"/>
            </w:pPr>
            <w:r>
              <w:t>20</w:t>
            </w:r>
          </w:p>
        </w:tc>
      </w:tr>
      <w:tr w:rsidR="0024324F" w:rsidRPr="000778D6" w14:paraId="79BC1AEF" w14:textId="77777777" w:rsidTr="000C5D5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54" w:type="dxa"/>
            <w:tcBorders>
              <w:right w:val="none" w:sz="0" w:space="0" w:color="auto"/>
            </w:tcBorders>
            <w:vAlign w:val="center"/>
          </w:tcPr>
          <w:p w14:paraId="33F2D18C" w14:textId="7E33A6C8" w:rsidR="0024324F" w:rsidRPr="0024324F" w:rsidRDefault="0024324F" w:rsidP="009E2AE0">
            <w:pPr>
              <w:pStyle w:val="FSTableText"/>
              <w:rPr>
                <w:b w:val="0"/>
              </w:rPr>
            </w:pPr>
            <w:r w:rsidRPr="0024324F">
              <w:rPr>
                <w:b w:val="0"/>
              </w:rPr>
              <w:t>Government</w:t>
            </w:r>
          </w:p>
        </w:tc>
        <w:tc>
          <w:tcPr>
            <w:tcW w:w="2251" w:type="dxa"/>
            <w:tcBorders>
              <w:left w:val="none" w:sz="0" w:space="0" w:color="auto"/>
              <w:right w:val="none" w:sz="0" w:space="0" w:color="auto"/>
            </w:tcBorders>
            <w:vAlign w:val="center"/>
          </w:tcPr>
          <w:p w14:paraId="04D72D37" w14:textId="62E9C80F" w:rsidR="0024324F" w:rsidRDefault="0017419B" w:rsidP="009E2AE0">
            <w:pPr>
              <w:pStyle w:val="FSTableText"/>
              <w:jc w:val="center"/>
              <w:cnfStyle w:val="000000100000" w:firstRow="0" w:lastRow="0" w:firstColumn="0" w:lastColumn="0" w:oddVBand="0" w:evenVBand="0" w:oddHBand="1" w:evenHBand="0" w:firstRowFirstColumn="0" w:firstRowLastColumn="0" w:lastRowFirstColumn="0" w:lastRowLastColumn="0"/>
            </w:pPr>
            <w:r>
              <w:t>4</w:t>
            </w:r>
          </w:p>
        </w:tc>
        <w:tc>
          <w:tcPr>
            <w:tcW w:w="2708" w:type="dxa"/>
            <w:tcBorders>
              <w:left w:val="none" w:sz="0" w:space="0" w:color="auto"/>
              <w:right w:val="none" w:sz="0" w:space="0" w:color="auto"/>
            </w:tcBorders>
            <w:vAlign w:val="center"/>
          </w:tcPr>
          <w:p w14:paraId="055DAD79" w14:textId="4530AF45" w:rsidR="0024324F" w:rsidRPr="0024324F" w:rsidRDefault="0017419B" w:rsidP="009E2AE0">
            <w:pPr>
              <w:pStyle w:val="FSTableText"/>
              <w:jc w:val="center"/>
              <w:cnfStyle w:val="000000100000" w:firstRow="0" w:lastRow="0" w:firstColumn="0" w:lastColumn="0" w:oddVBand="0" w:evenVBand="0" w:oddHBand="1" w:evenHBand="0" w:firstRowFirstColumn="0" w:firstRowLastColumn="0" w:lastRowFirstColumn="0" w:lastRowLastColumn="0"/>
              <w:rPr>
                <w:b/>
              </w:rPr>
            </w:pPr>
            <w:r>
              <w:rPr>
                <w:b/>
              </w:rPr>
              <w:t>-</w:t>
            </w:r>
          </w:p>
        </w:tc>
        <w:tc>
          <w:tcPr>
            <w:tcW w:w="1798" w:type="dxa"/>
            <w:tcBorders>
              <w:left w:val="none" w:sz="0" w:space="0" w:color="auto"/>
            </w:tcBorders>
            <w:vAlign w:val="center"/>
          </w:tcPr>
          <w:p w14:paraId="75D4A49D" w14:textId="5B0D66E3" w:rsidR="0024324F" w:rsidRPr="000778D6" w:rsidRDefault="0017419B" w:rsidP="009E2AE0">
            <w:pPr>
              <w:pStyle w:val="FSTableText"/>
              <w:jc w:val="center"/>
              <w:cnfStyle w:val="000000100000" w:firstRow="0" w:lastRow="0" w:firstColumn="0" w:lastColumn="0" w:oddVBand="0" w:evenVBand="0" w:oddHBand="1" w:evenHBand="0" w:firstRowFirstColumn="0" w:firstRowLastColumn="0" w:lastRowFirstColumn="0" w:lastRowLastColumn="0"/>
            </w:pPr>
            <w:r>
              <w:t>4</w:t>
            </w:r>
          </w:p>
        </w:tc>
      </w:tr>
      <w:tr w:rsidR="0024324F" w:rsidRPr="008267B8" w14:paraId="61FF5A61" w14:textId="77777777" w:rsidTr="000C5D5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54" w:type="dxa"/>
            <w:tcBorders>
              <w:right w:val="none" w:sz="0" w:space="0" w:color="auto"/>
            </w:tcBorders>
            <w:vAlign w:val="center"/>
          </w:tcPr>
          <w:p w14:paraId="5C8074BE" w14:textId="5CF42361" w:rsidR="0024324F" w:rsidRPr="0024324F" w:rsidRDefault="0024324F" w:rsidP="009E2AE0">
            <w:pPr>
              <w:pStyle w:val="FSTableText"/>
              <w:rPr>
                <w:b w:val="0"/>
              </w:rPr>
            </w:pPr>
            <w:r w:rsidRPr="0024324F">
              <w:rPr>
                <w:b w:val="0"/>
              </w:rPr>
              <w:t>Health practitioners</w:t>
            </w:r>
          </w:p>
        </w:tc>
        <w:tc>
          <w:tcPr>
            <w:tcW w:w="2251" w:type="dxa"/>
            <w:tcBorders>
              <w:left w:val="none" w:sz="0" w:space="0" w:color="auto"/>
              <w:right w:val="none" w:sz="0" w:space="0" w:color="auto"/>
            </w:tcBorders>
            <w:vAlign w:val="center"/>
          </w:tcPr>
          <w:p w14:paraId="48580B70" w14:textId="699DA29A" w:rsidR="0024324F" w:rsidRDefault="0017419B" w:rsidP="009E2AE0">
            <w:pPr>
              <w:pStyle w:val="FSTableText"/>
              <w:jc w:val="center"/>
              <w:cnfStyle w:val="000000010000" w:firstRow="0" w:lastRow="0" w:firstColumn="0" w:lastColumn="0" w:oddVBand="0" w:evenVBand="0" w:oddHBand="0" w:evenHBand="1" w:firstRowFirstColumn="0" w:firstRowLastColumn="0" w:lastRowFirstColumn="0" w:lastRowLastColumn="0"/>
            </w:pPr>
            <w:r>
              <w:t>-</w:t>
            </w:r>
          </w:p>
        </w:tc>
        <w:tc>
          <w:tcPr>
            <w:tcW w:w="2708" w:type="dxa"/>
            <w:tcBorders>
              <w:left w:val="none" w:sz="0" w:space="0" w:color="auto"/>
              <w:right w:val="none" w:sz="0" w:space="0" w:color="auto"/>
            </w:tcBorders>
            <w:vAlign w:val="center"/>
          </w:tcPr>
          <w:p w14:paraId="0AB85ADD" w14:textId="744FBC26" w:rsidR="0024324F" w:rsidRPr="000778D6" w:rsidRDefault="0017419B" w:rsidP="009E2AE0">
            <w:pPr>
              <w:pStyle w:val="FSTableText"/>
              <w:jc w:val="center"/>
              <w:cnfStyle w:val="000000010000" w:firstRow="0" w:lastRow="0" w:firstColumn="0" w:lastColumn="0" w:oddVBand="0" w:evenVBand="0" w:oddHBand="0" w:evenHBand="1" w:firstRowFirstColumn="0" w:firstRowLastColumn="0" w:lastRowFirstColumn="0" w:lastRowLastColumn="0"/>
            </w:pPr>
            <w:r>
              <w:t>13</w:t>
            </w:r>
          </w:p>
        </w:tc>
        <w:tc>
          <w:tcPr>
            <w:tcW w:w="1798" w:type="dxa"/>
            <w:tcBorders>
              <w:left w:val="none" w:sz="0" w:space="0" w:color="auto"/>
            </w:tcBorders>
            <w:vAlign w:val="center"/>
          </w:tcPr>
          <w:p w14:paraId="3F48AC1B" w14:textId="19C57D63" w:rsidR="0024324F" w:rsidRPr="008267B8" w:rsidRDefault="0017419B" w:rsidP="009E2AE0">
            <w:pPr>
              <w:pStyle w:val="FSTableText"/>
              <w:jc w:val="center"/>
              <w:cnfStyle w:val="000000010000" w:firstRow="0" w:lastRow="0" w:firstColumn="0" w:lastColumn="0" w:oddVBand="0" w:evenVBand="0" w:oddHBand="0" w:evenHBand="1" w:firstRowFirstColumn="0" w:firstRowLastColumn="0" w:lastRowFirstColumn="0" w:lastRowLastColumn="0"/>
              <w:rPr>
                <w:lang w:val="en-AU"/>
              </w:rPr>
            </w:pPr>
            <w:r>
              <w:rPr>
                <w:lang w:val="en-AU"/>
              </w:rPr>
              <w:t>13</w:t>
            </w:r>
          </w:p>
        </w:tc>
      </w:tr>
      <w:tr w:rsidR="0017419B" w:rsidRPr="008267B8" w14:paraId="006F8C42" w14:textId="77777777" w:rsidTr="000C5D5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54" w:type="dxa"/>
            <w:tcBorders>
              <w:right w:val="none" w:sz="0" w:space="0" w:color="auto"/>
            </w:tcBorders>
            <w:vAlign w:val="center"/>
          </w:tcPr>
          <w:p w14:paraId="68D2D4EB" w14:textId="15FBA763" w:rsidR="0017419B" w:rsidRPr="0024324F" w:rsidRDefault="0017419B" w:rsidP="009E2AE0">
            <w:pPr>
              <w:pStyle w:val="FSTableText"/>
              <w:rPr>
                <w:b w:val="0"/>
              </w:rPr>
            </w:pPr>
            <w:r>
              <w:rPr>
                <w:b w:val="0"/>
              </w:rPr>
              <w:t>Community groups</w:t>
            </w:r>
          </w:p>
        </w:tc>
        <w:tc>
          <w:tcPr>
            <w:tcW w:w="2251" w:type="dxa"/>
            <w:tcBorders>
              <w:left w:val="none" w:sz="0" w:space="0" w:color="auto"/>
              <w:right w:val="none" w:sz="0" w:space="0" w:color="auto"/>
            </w:tcBorders>
            <w:vAlign w:val="center"/>
          </w:tcPr>
          <w:p w14:paraId="7B3F2385" w14:textId="1C4D5412" w:rsidR="0017419B" w:rsidRDefault="008539FF" w:rsidP="009E2AE0">
            <w:pPr>
              <w:pStyle w:val="FSTableText"/>
              <w:jc w:val="center"/>
              <w:cnfStyle w:val="000000100000" w:firstRow="0" w:lastRow="0" w:firstColumn="0" w:lastColumn="0" w:oddVBand="0" w:evenVBand="0" w:oddHBand="1" w:evenHBand="0" w:firstRowFirstColumn="0" w:firstRowLastColumn="0" w:lastRowFirstColumn="0" w:lastRowLastColumn="0"/>
            </w:pPr>
            <w:r>
              <w:t>1</w:t>
            </w:r>
          </w:p>
        </w:tc>
        <w:tc>
          <w:tcPr>
            <w:tcW w:w="2708" w:type="dxa"/>
            <w:tcBorders>
              <w:left w:val="none" w:sz="0" w:space="0" w:color="auto"/>
              <w:right w:val="none" w:sz="0" w:space="0" w:color="auto"/>
            </w:tcBorders>
            <w:vAlign w:val="center"/>
          </w:tcPr>
          <w:p w14:paraId="40429197" w14:textId="1D950479" w:rsidR="0017419B" w:rsidRPr="000778D6" w:rsidRDefault="008539FF" w:rsidP="009E2AE0">
            <w:pPr>
              <w:pStyle w:val="FSTableText"/>
              <w:jc w:val="center"/>
              <w:cnfStyle w:val="000000100000" w:firstRow="0" w:lastRow="0" w:firstColumn="0" w:lastColumn="0" w:oddVBand="0" w:evenVBand="0" w:oddHBand="1" w:evenHBand="0" w:firstRowFirstColumn="0" w:firstRowLastColumn="0" w:lastRowFirstColumn="0" w:lastRowLastColumn="0"/>
            </w:pPr>
            <w:r>
              <w:t>10</w:t>
            </w:r>
          </w:p>
        </w:tc>
        <w:tc>
          <w:tcPr>
            <w:tcW w:w="1798" w:type="dxa"/>
            <w:tcBorders>
              <w:left w:val="none" w:sz="0" w:space="0" w:color="auto"/>
            </w:tcBorders>
            <w:vAlign w:val="center"/>
          </w:tcPr>
          <w:p w14:paraId="54D81377" w14:textId="7783FF8A" w:rsidR="0017419B" w:rsidRPr="008267B8" w:rsidRDefault="008539FF" w:rsidP="009E2AE0">
            <w:pPr>
              <w:pStyle w:val="FSTableText"/>
              <w:jc w:val="center"/>
              <w:cnfStyle w:val="000000100000" w:firstRow="0" w:lastRow="0" w:firstColumn="0" w:lastColumn="0" w:oddVBand="0" w:evenVBand="0" w:oddHBand="1" w:evenHBand="0" w:firstRowFirstColumn="0" w:firstRowLastColumn="0" w:lastRowFirstColumn="0" w:lastRowLastColumn="0"/>
              <w:rPr>
                <w:lang w:val="en-AU"/>
              </w:rPr>
            </w:pPr>
            <w:r>
              <w:rPr>
                <w:lang w:val="en-AU"/>
              </w:rPr>
              <w:t>11</w:t>
            </w:r>
          </w:p>
        </w:tc>
      </w:tr>
      <w:tr w:rsidR="0017419B" w:rsidRPr="008267B8" w14:paraId="71439ABC" w14:textId="77777777" w:rsidTr="000C5D5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54" w:type="dxa"/>
            <w:tcBorders>
              <w:right w:val="none" w:sz="0" w:space="0" w:color="auto"/>
            </w:tcBorders>
            <w:vAlign w:val="center"/>
          </w:tcPr>
          <w:p w14:paraId="27D45D7C" w14:textId="720BAB52" w:rsidR="0017419B" w:rsidRDefault="0017419B" w:rsidP="009E2AE0">
            <w:pPr>
              <w:pStyle w:val="FSTableText"/>
              <w:rPr>
                <w:b w:val="0"/>
              </w:rPr>
            </w:pPr>
            <w:r>
              <w:rPr>
                <w:b w:val="0"/>
              </w:rPr>
              <w:t>Other</w:t>
            </w:r>
          </w:p>
        </w:tc>
        <w:tc>
          <w:tcPr>
            <w:tcW w:w="2251" w:type="dxa"/>
            <w:tcBorders>
              <w:left w:val="none" w:sz="0" w:space="0" w:color="auto"/>
              <w:right w:val="none" w:sz="0" w:space="0" w:color="auto"/>
            </w:tcBorders>
            <w:vAlign w:val="center"/>
          </w:tcPr>
          <w:p w14:paraId="19131A38" w14:textId="65C1E8CE" w:rsidR="0017419B" w:rsidRDefault="008539FF" w:rsidP="009E2AE0">
            <w:pPr>
              <w:pStyle w:val="FSTableText"/>
              <w:jc w:val="center"/>
              <w:cnfStyle w:val="000000010000" w:firstRow="0" w:lastRow="0" w:firstColumn="0" w:lastColumn="0" w:oddVBand="0" w:evenVBand="0" w:oddHBand="0" w:evenHBand="1" w:firstRowFirstColumn="0" w:firstRowLastColumn="0" w:lastRowFirstColumn="0" w:lastRowLastColumn="0"/>
            </w:pPr>
            <w:r>
              <w:t>4</w:t>
            </w:r>
          </w:p>
        </w:tc>
        <w:tc>
          <w:tcPr>
            <w:tcW w:w="2708" w:type="dxa"/>
            <w:tcBorders>
              <w:left w:val="none" w:sz="0" w:space="0" w:color="auto"/>
              <w:right w:val="none" w:sz="0" w:space="0" w:color="auto"/>
            </w:tcBorders>
            <w:vAlign w:val="center"/>
          </w:tcPr>
          <w:p w14:paraId="0CE1845A" w14:textId="5E57B0DB" w:rsidR="0017419B" w:rsidRPr="000778D6" w:rsidRDefault="008539FF" w:rsidP="009E2AE0">
            <w:pPr>
              <w:pStyle w:val="FSTableText"/>
              <w:jc w:val="center"/>
              <w:cnfStyle w:val="000000010000" w:firstRow="0" w:lastRow="0" w:firstColumn="0" w:lastColumn="0" w:oddVBand="0" w:evenVBand="0" w:oddHBand="0" w:evenHBand="1" w:firstRowFirstColumn="0" w:firstRowLastColumn="0" w:lastRowFirstColumn="0" w:lastRowLastColumn="0"/>
            </w:pPr>
            <w:r>
              <w:t>4</w:t>
            </w:r>
          </w:p>
        </w:tc>
        <w:tc>
          <w:tcPr>
            <w:tcW w:w="1798" w:type="dxa"/>
            <w:tcBorders>
              <w:left w:val="none" w:sz="0" w:space="0" w:color="auto"/>
            </w:tcBorders>
            <w:vAlign w:val="center"/>
          </w:tcPr>
          <w:p w14:paraId="429F3867" w14:textId="7B945E18" w:rsidR="0017419B" w:rsidRDefault="008539FF" w:rsidP="009E2AE0">
            <w:pPr>
              <w:pStyle w:val="FSTableText"/>
              <w:jc w:val="center"/>
              <w:cnfStyle w:val="000000010000" w:firstRow="0" w:lastRow="0" w:firstColumn="0" w:lastColumn="0" w:oddVBand="0" w:evenVBand="0" w:oddHBand="0" w:evenHBand="1" w:firstRowFirstColumn="0" w:firstRowLastColumn="0" w:lastRowFirstColumn="0" w:lastRowLastColumn="0"/>
              <w:rPr>
                <w:lang w:val="en-AU"/>
              </w:rPr>
            </w:pPr>
            <w:r>
              <w:rPr>
                <w:lang w:val="en-AU"/>
              </w:rPr>
              <w:t>8</w:t>
            </w:r>
          </w:p>
        </w:tc>
      </w:tr>
      <w:tr w:rsidR="0017419B" w:rsidRPr="008267B8" w14:paraId="7BAD7CE9" w14:textId="77777777" w:rsidTr="000C5D5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454" w:type="dxa"/>
            <w:tcBorders>
              <w:right w:val="none" w:sz="0" w:space="0" w:color="auto"/>
            </w:tcBorders>
            <w:vAlign w:val="center"/>
          </w:tcPr>
          <w:p w14:paraId="12F0141E" w14:textId="1832B7B5" w:rsidR="0017419B" w:rsidRPr="008539FF" w:rsidRDefault="0017419B" w:rsidP="009E2AE0">
            <w:pPr>
              <w:pStyle w:val="FSTableText"/>
            </w:pPr>
            <w:r w:rsidRPr="008539FF">
              <w:t>Total</w:t>
            </w:r>
          </w:p>
        </w:tc>
        <w:tc>
          <w:tcPr>
            <w:tcW w:w="2251" w:type="dxa"/>
            <w:tcBorders>
              <w:left w:val="none" w:sz="0" w:space="0" w:color="auto"/>
              <w:right w:val="none" w:sz="0" w:space="0" w:color="auto"/>
            </w:tcBorders>
            <w:vAlign w:val="center"/>
          </w:tcPr>
          <w:p w14:paraId="1F407CD2" w14:textId="72313A5A" w:rsidR="0017419B" w:rsidRPr="008539FF" w:rsidRDefault="008539FF" w:rsidP="009E2AE0">
            <w:pPr>
              <w:pStyle w:val="FSTableText"/>
              <w:jc w:val="center"/>
              <w:cnfStyle w:val="000000100000" w:firstRow="0" w:lastRow="0" w:firstColumn="0" w:lastColumn="0" w:oddVBand="0" w:evenVBand="0" w:oddHBand="1" w:evenHBand="0" w:firstRowFirstColumn="0" w:firstRowLastColumn="0" w:lastRowFirstColumn="0" w:lastRowLastColumn="0"/>
              <w:rPr>
                <w:b/>
              </w:rPr>
            </w:pPr>
            <w:r w:rsidRPr="008539FF">
              <w:rPr>
                <w:b/>
              </w:rPr>
              <w:t>24</w:t>
            </w:r>
          </w:p>
        </w:tc>
        <w:tc>
          <w:tcPr>
            <w:tcW w:w="2708" w:type="dxa"/>
            <w:tcBorders>
              <w:left w:val="none" w:sz="0" w:space="0" w:color="auto"/>
              <w:right w:val="none" w:sz="0" w:space="0" w:color="auto"/>
            </w:tcBorders>
            <w:vAlign w:val="center"/>
          </w:tcPr>
          <w:p w14:paraId="0801476E" w14:textId="1F0B48AE" w:rsidR="0017419B" w:rsidRPr="008539FF" w:rsidRDefault="008539FF" w:rsidP="009E2AE0">
            <w:pPr>
              <w:pStyle w:val="FSTableText"/>
              <w:jc w:val="center"/>
              <w:cnfStyle w:val="000000100000" w:firstRow="0" w:lastRow="0" w:firstColumn="0" w:lastColumn="0" w:oddVBand="0" w:evenVBand="0" w:oddHBand="1" w:evenHBand="0" w:firstRowFirstColumn="0" w:firstRowLastColumn="0" w:lastRowFirstColumn="0" w:lastRowLastColumn="0"/>
              <w:rPr>
                <w:b/>
              </w:rPr>
            </w:pPr>
            <w:r>
              <w:rPr>
                <w:b/>
              </w:rPr>
              <w:t>456</w:t>
            </w:r>
          </w:p>
        </w:tc>
        <w:tc>
          <w:tcPr>
            <w:tcW w:w="1798" w:type="dxa"/>
            <w:tcBorders>
              <w:left w:val="none" w:sz="0" w:space="0" w:color="auto"/>
            </w:tcBorders>
            <w:vAlign w:val="center"/>
          </w:tcPr>
          <w:p w14:paraId="341DF0D9" w14:textId="4769AE7B" w:rsidR="0017419B" w:rsidRPr="008539FF" w:rsidRDefault="008539FF" w:rsidP="009E2AE0">
            <w:pPr>
              <w:pStyle w:val="FSTableText"/>
              <w:jc w:val="center"/>
              <w:cnfStyle w:val="000000100000" w:firstRow="0" w:lastRow="0" w:firstColumn="0" w:lastColumn="0" w:oddVBand="0" w:evenVBand="0" w:oddHBand="1" w:evenHBand="0" w:firstRowFirstColumn="0" w:firstRowLastColumn="0" w:lastRowFirstColumn="0" w:lastRowLastColumn="0"/>
              <w:rPr>
                <w:b/>
                <w:lang w:val="en-AU"/>
              </w:rPr>
            </w:pPr>
            <w:r>
              <w:rPr>
                <w:b/>
                <w:lang w:val="en-AU"/>
              </w:rPr>
              <w:t>480</w:t>
            </w:r>
          </w:p>
        </w:tc>
      </w:tr>
    </w:tbl>
    <w:p w14:paraId="20D25DB5" w14:textId="2930F920" w:rsidR="007E6DD5" w:rsidRDefault="007E6DD5" w:rsidP="007E6DD5">
      <w:pPr>
        <w:rPr>
          <w:lang w:bidi="ar-SA"/>
        </w:rPr>
      </w:pPr>
    </w:p>
    <w:p w14:paraId="0C15F518" w14:textId="6C32D4D7" w:rsidR="0024324F" w:rsidRDefault="008539FF" w:rsidP="003F2560">
      <w:pPr>
        <w:pStyle w:val="FSTableHeading"/>
        <w:keepNext/>
        <w:keepLines/>
        <w:jc w:val="left"/>
        <w:rPr>
          <w:lang w:bidi="ar-SA"/>
        </w:rPr>
      </w:pPr>
      <w:r>
        <w:t>Table 2</w:t>
      </w:r>
      <w:r w:rsidRPr="00722627">
        <w:t>:</w:t>
      </w:r>
      <w:r>
        <w:t xml:space="preserve"> </w:t>
      </w:r>
      <w:r w:rsidR="00F00034">
        <w:t>Main t</w:t>
      </w:r>
      <w:r>
        <w:t xml:space="preserve">hemes </w:t>
      </w:r>
      <w:r w:rsidR="003E4EEA">
        <w:t>raised</w:t>
      </w:r>
      <w:r>
        <w:t xml:space="preserve"> in submissions </w:t>
      </w:r>
      <w:r w:rsidR="00225EBD">
        <w:t>from the various</w:t>
      </w:r>
      <w:r>
        <w:t xml:space="preserve"> submitter group</w:t>
      </w:r>
      <w:r w:rsidR="00225EBD">
        <w:t>s</w:t>
      </w:r>
      <w:r w:rsidR="002E4164">
        <w:t>*</w:t>
      </w:r>
    </w:p>
    <w:tbl>
      <w:tblPr>
        <w:tblStyle w:val="MediumShading1-Accent3"/>
        <w:tblW w:w="9218" w:type="dxa"/>
        <w:tblInd w:w="-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4"/>
        <w:gridCol w:w="708"/>
        <w:gridCol w:w="1276"/>
        <w:gridCol w:w="1134"/>
        <w:gridCol w:w="709"/>
        <w:gridCol w:w="1559"/>
        <w:gridCol w:w="1418"/>
        <w:gridCol w:w="850"/>
      </w:tblGrid>
      <w:tr w:rsidR="00251FC0" w:rsidRPr="008C4E76" w14:paraId="2262EF78" w14:textId="1A16D5AC" w:rsidTr="000C5D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4" w:type="dxa"/>
            <w:tcBorders>
              <w:top w:val="none" w:sz="0" w:space="0" w:color="auto"/>
              <w:left w:val="none" w:sz="0" w:space="0" w:color="auto"/>
              <w:bottom w:val="none" w:sz="0" w:space="0" w:color="auto"/>
              <w:right w:val="none" w:sz="0" w:space="0" w:color="auto"/>
            </w:tcBorders>
            <w:vAlign w:val="center"/>
          </w:tcPr>
          <w:p w14:paraId="6FABADF7" w14:textId="14605D21" w:rsidR="00251FC0" w:rsidRPr="008C4E76" w:rsidRDefault="00251FC0" w:rsidP="003F2560">
            <w:pPr>
              <w:pStyle w:val="FSTableHeading"/>
              <w:keepNext/>
              <w:keepLines/>
              <w:rPr>
                <w:b/>
              </w:rPr>
            </w:pPr>
          </w:p>
        </w:tc>
        <w:tc>
          <w:tcPr>
            <w:tcW w:w="7654" w:type="dxa"/>
            <w:gridSpan w:val="7"/>
            <w:tcBorders>
              <w:top w:val="none" w:sz="0" w:space="0" w:color="auto"/>
              <w:left w:val="none" w:sz="0" w:space="0" w:color="auto"/>
              <w:bottom w:val="none" w:sz="0" w:space="0" w:color="auto"/>
              <w:right w:val="none" w:sz="0" w:space="0" w:color="auto"/>
            </w:tcBorders>
            <w:vAlign w:val="center"/>
          </w:tcPr>
          <w:p w14:paraId="790FE659" w14:textId="1DBBE731" w:rsidR="00251FC0" w:rsidRDefault="00251FC0" w:rsidP="003F2560">
            <w:pPr>
              <w:pStyle w:val="FSTableHeading"/>
              <w:keepNext/>
              <w:keepLines/>
              <w:cnfStyle w:val="100000000000" w:firstRow="1" w:lastRow="0" w:firstColumn="0" w:lastColumn="0" w:oddVBand="0" w:evenVBand="0" w:oddHBand="0" w:evenHBand="0" w:firstRowFirstColumn="0" w:firstRowLastColumn="0" w:lastRowFirstColumn="0" w:lastRowLastColumn="0"/>
            </w:pPr>
            <w:r>
              <w:rPr>
                <w:b/>
              </w:rPr>
              <w:t>Number of submitters</w:t>
            </w:r>
          </w:p>
        </w:tc>
      </w:tr>
      <w:tr w:rsidR="00811038" w:rsidRPr="008C4E76" w14:paraId="60BE267F" w14:textId="77777777" w:rsidTr="000C5D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4" w:type="dxa"/>
            <w:tcBorders>
              <w:top w:val="none" w:sz="0" w:space="0" w:color="auto"/>
              <w:left w:val="none" w:sz="0" w:space="0" w:color="auto"/>
              <w:bottom w:val="none" w:sz="0" w:space="0" w:color="auto"/>
              <w:right w:val="none" w:sz="0" w:space="0" w:color="auto"/>
            </w:tcBorders>
            <w:vAlign w:val="center"/>
          </w:tcPr>
          <w:p w14:paraId="6C04B2D2" w14:textId="5759E299" w:rsidR="00251FC0" w:rsidRDefault="00251FC0" w:rsidP="00251FC0">
            <w:pPr>
              <w:pStyle w:val="FSTableHeading"/>
              <w:rPr>
                <w:b/>
              </w:rPr>
            </w:pPr>
            <w:r>
              <w:rPr>
                <w:b/>
              </w:rPr>
              <w:t>Theme</w:t>
            </w:r>
          </w:p>
        </w:tc>
        <w:tc>
          <w:tcPr>
            <w:tcW w:w="708" w:type="dxa"/>
            <w:tcBorders>
              <w:top w:val="none" w:sz="0" w:space="0" w:color="auto"/>
              <w:left w:val="none" w:sz="0" w:space="0" w:color="auto"/>
              <w:bottom w:val="none" w:sz="0" w:space="0" w:color="auto"/>
              <w:right w:val="none" w:sz="0" w:space="0" w:color="auto"/>
            </w:tcBorders>
            <w:vAlign w:val="center"/>
          </w:tcPr>
          <w:p w14:paraId="0B4D04D3" w14:textId="5A3F9C15" w:rsidR="00251FC0" w:rsidRDefault="00251FC0" w:rsidP="00251FC0">
            <w:pPr>
              <w:pStyle w:val="FSTableHeading"/>
              <w:cnfStyle w:val="100000000000" w:firstRow="1" w:lastRow="0" w:firstColumn="0" w:lastColumn="0" w:oddVBand="0" w:evenVBand="0" w:oddHBand="0" w:evenHBand="0" w:firstRowFirstColumn="0" w:firstRowLastColumn="0" w:lastRowFirstColumn="0" w:lastRowLastColumn="0"/>
              <w:rPr>
                <w:b/>
              </w:rPr>
            </w:pPr>
            <w:r>
              <w:rPr>
                <w:b/>
              </w:rPr>
              <w:t>Total</w:t>
            </w:r>
          </w:p>
        </w:tc>
        <w:tc>
          <w:tcPr>
            <w:tcW w:w="1276" w:type="dxa"/>
            <w:tcBorders>
              <w:top w:val="none" w:sz="0" w:space="0" w:color="auto"/>
              <w:left w:val="none" w:sz="0" w:space="0" w:color="auto"/>
              <w:bottom w:val="none" w:sz="0" w:space="0" w:color="auto"/>
              <w:right w:val="none" w:sz="0" w:space="0" w:color="auto"/>
            </w:tcBorders>
            <w:vAlign w:val="center"/>
          </w:tcPr>
          <w:p w14:paraId="24BEC0BC" w14:textId="5553C0BF" w:rsidR="00251FC0" w:rsidRPr="0035106D" w:rsidRDefault="00251FC0" w:rsidP="00251FC0">
            <w:pPr>
              <w:pStyle w:val="FSTableHeading"/>
              <w:cnfStyle w:val="100000000000" w:firstRow="1" w:lastRow="0" w:firstColumn="0" w:lastColumn="0" w:oddVBand="0" w:evenVBand="0" w:oddHBand="0" w:evenHBand="0" w:firstRowFirstColumn="0" w:firstRowLastColumn="0" w:lastRowFirstColumn="0" w:lastRowLastColumn="0"/>
              <w:rPr>
                <w:b/>
              </w:rPr>
            </w:pPr>
            <w:r w:rsidRPr="0035106D">
              <w:rPr>
                <w:b/>
              </w:rPr>
              <w:t>Private individuals</w:t>
            </w:r>
          </w:p>
        </w:tc>
        <w:tc>
          <w:tcPr>
            <w:tcW w:w="1134" w:type="dxa"/>
            <w:tcBorders>
              <w:top w:val="none" w:sz="0" w:space="0" w:color="auto"/>
              <w:left w:val="none" w:sz="0" w:space="0" w:color="auto"/>
              <w:bottom w:val="none" w:sz="0" w:space="0" w:color="auto"/>
              <w:right w:val="none" w:sz="0" w:space="0" w:color="auto"/>
            </w:tcBorders>
            <w:vAlign w:val="center"/>
          </w:tcPr>
          <w:p w14:paraId="44F4BAF9" w14:textId="0916478A" w:rsidR="00251FC0" w:rsidRDefault="00251FC0" w:rsidP="00251FC0">
            <w:pPr>
              <w:pStyle w:val="FSTableHeading"/>
              <w:cnfStyle w:val="100000000000" w:firstRow="1" w:lastRow="0" w:firstColumn="0" w:lastColumn="0" w:oddVBand="0" w:evenVBand="0" w:oddHBand="0" w:evenHBand="0" w:firstRowFirstColumn="0" w:firstRowLastColumn="0" w:lastRowFirstColumn="0" w:lastRowLastColumn="0"/>
              <w:rPr>
                <w:b/>
              </w:rPr>
            </w:pPr>
            <w:r>
              <w:rPr>
                <w:b/>
              </w:rPr>
              <w:t>Industry</w:t>
            </w:r>
          </w:p>
        </w:tc>
        <w:tc>
          <w:tcPr>
            <w:tcW w:w="709" w:type="dxa"/>
            <w:tcBorders>
              <w:top w:val="none" w:sz="0" w:space="0" w:color="auto"/>
              <w:left w:val="none" w:sz="0" w:space="0" w:color="auto"/>
              <w:bottom w:val="none" w:sz="0" w:space="0" w:color="auto"/>
              <w:right w:val="none" w:sz="0" w:space="0" w:color="auto"/>
            </w:tcBorders>
            <w:vAlign w:val="center"/>
          </w:tcPr>
          <w:p w14:paraId="7BB5B1A7" w14:textId="64F175F2" w:rsidR="00251FC0" w:rsidRDefault="00251FC0" w:rsidP="00811038">
            <w:pPr>
              <w:pStyle w:val="FSTableHeading"/>
              <w:cnfStyle w:val="100000000000" w:firstRow="1" w:lastRow="0" w:firstColumn="0" w:lastColumn="0" w:oddVBand="0" w:evenVBand="0" w:oddHBand="0" w:evenHBand="0" w:firstRowFirstColumn="0" w:firstRowLastColumn="0" w:lastRowFirstColumn="0" w:lastRowLastColumn="0"/>
              <w:rPr>
                <w:b/>
              </w:rPr>
            </w:pPr>
            <w:r>
              <w:rPr>
                <w:b/>
              </w:rPr>
              <w:t>Gov</w:t>
            </w:r>
            <w:r w:rsidR="00811038">
              <w:rPr>
                <w:b/>
              </w:rPr>
              <w:t>t</w:t>
            </w:r>
          </w:p>
        </w:tc>
        <w:tc>
          <w:tcPr>
            <w:tcW w:w="1559" w:type="dxa"/>
            <w:tcBorders>
              <w:top w:val="none" w:sz="0" w:space="0" w:color="auto"/>
              <w:left w:val="none" w:sz="0" w:space="0" w:color="auto"/>
              <w:bottom w:val="none" w:sz="0" w:space="0" w:color="auto"/>
              <w:right w:val="none" w:sz="0" w:space="0" w:color="auto"/>
            </w:tcBorders>
            <w:vAlign w:val="center"/>
          </w:tcPr>
          <w:p w14:paraId="046D53A6" w14:textId="3905C2B6" w:rsidR="00251FC0" w:rsidRDefault="00251FC0" w:rsidP="00251FC0">
            <w:pPr>
              <w:pStyle w:val="FSTableHeading"/>
              <w:cnfStyle w:val="100000000000" w:firstRow="1" w:lastRow="0" w:firstColumn="0" w:lastColumn="0" w:oddVBand="0" w:evenVBand="0" w:oddHBand="0" w:evenHBand="0" w:firstRowFirstColumn="0" w:firstRowLastColumn="0" w:lastRowFirstColumn="0" w:lastRowLastColumn="0"/>
              <w:rPr>
                <w:b/>
              </w:rPr>
            </w:pPr>
            <w:r>
              <w:rPr>
                <w:b/>
              </w:rPr>
              <w:t>Health prac</w:t>
            </w:r>
            <w:r w:rsidR="00811038">
              <w:rPr>
                <w:b/>
              </w:rPr>
              <w:t>titioners</w:t>
            </w:r>
          </w:p>
        </w:tc>
        <w:tc>
          <w:tcPr>
            <w:tcW w:w="1418" w:type="dxa"/>
            <w:tcBorders>
              <w:top w:val="none" w:sz="0" w:space="0" w:color="auto"/>
              <w:left w:val="none" w:sz="0" w:space="0" w:color="auto"/>
              <w:bottom w:val="none" w:sz="0" w:space="0" w:color="auto"/>
              <w:right w:val="none" w:sz="0" w:space="0" w:color="auto"/>
            </w:tcBorders>
            <w:vAlign w:val="center"/>
          </w:tcPr>
          <w:p w14:paraId="712EC412" w14:textId="390F8076" w:rsidR="00251FC0" w:rsidRDefault="00251FC0" w:rsidP="00251FC0">
            <w:pPr>
              <w:pStyle w:val="FSTableHeading"/>
              <w:cnfStyle w:val="100000000000" w:firstRow="1" w:lastRow="0" w:firstColumn="0" w:lastColumn="0" w:oddVBand="0" w:evenVBand="0" w:oddHBand="0" w:evenHBand="0" w:firstRowFirstColumn="0" w:firstRowLastColumn="0" w:lastRowFirstColumn="0" w:lastRowLastColumn="0"/>
              <w:rPr>
                <w:b/>
              </w:rPr>
            </w:pPr>
            <w:r>
              <w:rPr>
                <w:b/>
              </w:rPr>
              <w:t>Community group</w:t>
            </w:r>
          </w:p>
        </w:tc>
        <w:tc>
          <w:tcPr>
            <w:tcW w:w="850" w:type="dxa"/>
            <w:tcBorders>
              <w:top w:val="none" w:sz="0" w:space="0" w:color="auto"/>
              <w:left w:val="none" w:sz="0" w:space="0" w:color="auto"/>
              <w:bottom w:val="none" w:sz="0" w:space="0" w:color="auto"/>
              <w:right w:val="none" w:sz="0" w:space="0" w:color="auto"/>
            </w:tcBorders>
            <w:vAlign w:val="center"/>
          </w:tcPr>
          <w:p w14:paraId="2A24CC4B" w14:textId="02AD8F2A" w:rsidR="00251FC0" w:rsidRDefault="00251FC0" w:rsidP="00251FC0">
            <w:pPr>
              <w:pStyle w:val="FSTableHeading"/>
              <w:cnfStyle w:val="100000000000" w:firstRow="1" w:lastRow="0" w:firstColumn="0" w:lastColumn="0" w:oddVBand="0" w:evenVBand="0" w:oddHBand="0" w:evenHBand="0" w:firstRowFirstColumn="0" w:firstRowLastColumn="0" w:lastRowFirstColumn="0" w:lastRowLastColumn="0"/>
              <w:rPr>
                <w:b/>
              </w:rPr>
            </w:pPr>
            <w:r>
              <w:rPr>
                <w:b/>
              </w:rPr>
              <w:t>Other</w:t>
            </w:r>
          </w:p>
        </w:tc>
      </w:tr>
      <w:tr w:rsidR="00811038" w14:paraId="446A55FD" w14:textId="0CA4110C" w:rsidTr="000C5D5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4" w:type="dxa"/>
            <w:tcBorders>
              <w:right w:val="none" w:sz="0" w:space="0" w:color="auto"/>
            </w:tcBorders>
            <w:vAlign w:val="center"/>
          </w:tcPr>
          <w:p w14:paraId="48898DE8" w14:textId="387AC260" w:rsidR="00251FC0" w:rsidRPr="004208F5" w:rsidRDefault="00251FC0" w:rsidP="00251FC0">
            <w:pPr>
              <w:pStyle w:val="FSTableText"/>
              <w:rPr>
                <w:b w:val="0"/>
              </w:rPr>
            </w:pPr>
            <w:r w:rsidRPr="004208F5">
              <w:rPr>
                <w:b w:val="0"/>
              </w:rPr>
              <w:t>Safety</w:t>
            </w:r>
          </w:p>
        </w:tc>
        <w:tc>
          <w:tcPr>
            <w:tcW w:w="708" w:type="dxa"/>
            <w:tcBorders>
              <w:left w:val="none" w:sz="0" w:space="0" w:color="auto"/>
              <w:right w:val="none" w:sz="0" w:space="0" w:color="auto"/>
            </w:tcBorders>
            <w:vAlign w:val="center"/>
          </w:tcPr>
          <w:p w14:paraId="620A3C8B" w14:textId="05D14ADC" w:rsidR="00251FC0" w:rsidRPr="009E2AE0" w:rsidRDefault="00251FC0" w:rsidP="00251FC0">
            <w:pPr>
              <w:pStyle w:val="FSTableText"/>
              <w:jc w:val="center"/>
              <w:cnfStyle w:val="000000100000" w:firstRow="0" w:lastRow="0" w:firstColumn="0" w:lastColumn="0" w:oddVBand="0" w:evenVBand="0" w:oddHBand="1" w:evenHBand="0" w:firstRowFirstColumn="0" w:firstRowLastColumn="0" w:lastRowFirstColumn="0" w:lastRowLastColumn="0"/>
              <w:rPr>
                <w:bCs/>
              </w:rPr>
            </w:pPr>
            <w:r w:rsidRPr="009E2AE0">
              <w:rPr>
                <w:bCs/>
              </w:rPr>
              <w:t>341</w:t>
            </w:r>
          </w:p>
        </w:tc>
        <w:tc>
          <w:tcPr>
            <w:tcW w:w="1276" w:type="dxa"/>
            <w:tcBorders>
              <w:left w:val="none" w:sz="0" w:space="0" w:color="auto"/>
              <w:right w:val="none" w:sz="0" w:space="0" w:color="auto"/>
            </w:tcBorders>
            <w:vAlign w:val="center"/>
          </w:tcPr>
          <w:p w14:paraId="4E822CEF" w14:textId="60F11651" w:rsidR="00251FC0" w:rsidRPr="009E2AE0" w:rsidRDefault="00251FC0" w:rsidP="00251FC0">
            <w:pPr>
              <w:pStyle w:val="FSTableText"/>
              <w:jc w:val="center"/>
              <w:cnfStyle w:val="000000100000" w:firstRow="0" w:lastRow="0" w:firstColumn="0" w:lastColumn="0" w:oddVBand="0" w:evenVBand="0" w:oddHBand="1" w:evenHBand="0" w:firstRowFirstColumn="0" w:firstRowLastColumn="0" w:lastRowFirstColumn="0" w:lastRowLastColumn="0"/>
              <w:rPr>
                <w:bCs/>
              </w:rPr>
            </w:pPr>
            <w:r w:rsidRPr="009E2AE0">
              <w:rPr>
                <w:bCs/>
              </w:rPr>
              <w:t>291</w:t>
            </w:r>
          </w:p>
        </w:tc>
        <w:tc>
          <w:tcPr>
            <w:tcW w:w="1134" w:type="dxa"/>
            <w:tcBorders>
              <w:left w:val="none" w:sz="0" w:space="0" w:color="auto"/>
              <w:right w:val="none" w:sz="0" w:space="0" w:color="auto"/>
            </w:tcBorders>
            <w:vAlign w:val="center"/>
          </w:tcPr>
          <w:p w14:paraId="43B651BB" w14:textId="28D452CF" w:rsidR="00251FC0" w:rsidRPr="009E2AE0" w:rsidRDefault="00251FC0" w:rsidP="00251FC0">
            <w:pPr>
              <w:pStyle w:val="FSTableText"/>
              <w:jc w:val="center"/>
              <w:cnfStyle w:val="000000100000" w:firstRow="0" w:lastRow="0" w:firstColumn="0" w:lastColumn="0" w:oddVBand="0" w:evenVBand="0" w:oddHBand="1" w:evenHBand="0" w:firstRowFirstColumn="0" w:firstRowLastColumn="0" w:lastRowFirstColumn="0" w:lastRowLastColumn="0"/>
              <w:rPr>
                <w:bCs/>
              </w:rPr>
            </w:pPr>
            <w:r>
              <w:rPr>
                <w:bCs/>
              </w:rPr>
              <w:t>20</w:t>
            </w:r>
          </w:p>
        </w:tc>
        <w:tc>
          <w:tcPr>
            <w:tcW w:w="709" w:type="dxa"/>
            <w:tcBorders>
              <w:left w:val="none" w:sz="0" w:space="0" w:color="auto"/>
              <w:right w:val="none" w:sz="0" w:space="0" w:color="auto"/>
            </w:tcBorders>
            <w:vAlign w:val="center"/>
          </w:tcPr>
          <w:p w14:paraId="1CF8DF51" w14:textId="08F746E7" w:rsidR="00251FC0" w:rsidRPr="009E2AE0" w:rsidRDefault="00251FC0" w:rsidP="00251FC0">
            <w:pPr>
              <w:pStyle w:val="FSTableText"/>
              <w:jc w:val="center"/>
              <w:cnfStyle w:val="000000100000" w:firstRow="0" w:lastRow="0" w:firstColumn="0" w:lastColumn="0" w:oddVBand="0" w:evenVBand="0" w:oddHBand="1" w:evenHBand="0" w:firstRowFirstColumn="0" w:firstRowLastColumn="0" w:lastRowFirstColumn="0" w:lastRowLastColumn="0"/>
              <w:rPr>
                <w:bCs/>
              </w:rPr>
            </w:pPr>
            <w:r>
              <w:rPr>
                <w:bCs/>
              </w:rPr>
              <w:t>3</w:t>
            </w:r>
          </w:p>
        </w:tc>
        <w:tc>
          <w:tcPr>
            <w:tcW w:w="1559" w:type="dxa"/>
            <w:tcBorders>
              <w:left w:val="none" w:sz="0" w:space="0" w:color="auto"/>
              <w:right w:val="none" w:sz="0" w:space="0" w:color="auto"/>
            </w:tcBorders>
            <w:vAlign w:val="center"/>
          </w:tcPr>
          <w:p w14:paraId="05C7899F" w14:textId="0C3F38B4" w:rsidR="00251FC0" w:rsidRDefault="003E4EEA" w:rsidP="00251FC0">
            <w:pPr>
              <w:pStyle w:val="FSTableText"/>
              <w:jc w:val="center"/>
              <w:cnfStyle w:val="000000100000" w:firstRow="0" w:lastRow="0" w:firstColumn="0" w:lastColumn="0" w:oddVBand="0" w:evenVBand="0" w:oddHBand="1" w:evenHBand="0" w:firstRowFirstColumn="0" w:firstRowLastColumn="0" w:lastRowFirstColumn="0" w:lastRowLastColumn="0"/>
              <w:rPr>
                <w:bCs/>
              </w:rPr>
            </w:pPr>
            <w:r>
              <w:rPr>
                <w:bCs/>
              </w:rPr>
              <w:t>13</w:t>
            </w:r>
          </w:p>
        </w:tc>
        <w:tc>
          <w:tcPr>
            <w:tcW w:w="1418" w:type="dxa"/>
            <w:tcBorders>
              <w:left w:val="none" w:sz="0" w:space="0" w:color="auto"/>
              <w:right w:val="none" w:sz="0" w:space="0" w:color="auto"/>
            </w:tcBorders>
            <w:vAlign w:val="center"/>
          </w:tcPr>
          <w:p w14:paraId="27C4E351" w14:textId="66C3BD7E" w:rsidR="00251FC0" w:rsidRDefault="00251FC0" w:rsidP="00251FC0">
            <w:pPr>
              <w:pStyle w:val="FSTableText"/>
              <w:jc w:val="center"/>
              <w:cnfStyle w:val="000000100000" w:firstRow="0" w:lastRow="0" w:firstColumn="0" w:lastColumn="0" w:oddVBand="0" w:evenVBand="0" w:oddHBand="1" w:evenHBand="0" w:firstRowFirstColumn="0" w:firstRowLastColumn="0" w:lastRowFirstColumn="0" w:lastRowLastColumn="0"/>
              <w:rPr>
                <w:bCs/>
              </w:rPr>
            </w:pPr>
            <w:r>
              <w:rPr>
                <w:bCs/>
              </w:rPr>
              <w:t>9</w:t>
            </w:r>
          </w:p>
        </w:tc>
        <w:tc>
          <w:tcPr>
            <w:tcW w:w="850" w:type="dxa"/>
            <w:tcBorders>
              <w:left w:val="none" w:sz="0" w:space="0" w:color="auto"/>
            </w:tcBorders>
            <w:vAlign w:val="center"/>
          </w:tcPr>
          <w:p w14:paraId="0D2E9F47" w14:textId="27B45F61" w:rsidR="00251FC0" w:rsidRDefault="003E4EEA" w:rsidP="00251FC0">
            <w:pPr>
              <w:pStyle w:val="FSTableText"/>
              <w:jc w:val="center"/>
              <w:cnfStyle w:val="000000100000" w:firstRow="0" w:lastRow="0" w:firstColumn="0" w:lastColumn="0" w:oddVBand="0" w:evenVBand="0" w:oddHBand="1" w:evenHBand="0" w:firstRowFirstColumn="0" w:firstRowLastColumn="0" w:lastRowFirstColumn="0" w:lastRowLastColumn="0"/>
              <w:rPr>
                <w:bCs/>
              </w:rPr>
            </w:pPr>
            <w:r>
              <w:rPr>
                <w:bCs/>
              </w:rPr>
              <w:t>5</w:t>
            </w:r>
          </w:p>
        </w:tc>
      </w:tr>
      <w:tr w:rsidR="00811038" w14:paraId="7B0820BB" w14:textId="368B1714" w:rsidTr="000C5D54">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4" w:type="dxa"/>
            <w:tcBorders>
              <w:right w:val="none" w:sz="0" w:space="0" w:color="auto"/>
            </w:tcBorders>
            <w:vAlign w:val="center"/>
          </w:tcPr>
          <w:p w14:paraId="3E71A9B2" w14:textId="34D56CB9" w:rsidR="00251FC0" w:rsidRPr="004208F5" w:rsidRDefault="00251FC0" w:rsidP="00251FC0">
            <w:pPr>
              <w:pStyle w:val="FSTableText"/>
              <w:rPr>
                <w:b w:val="0"/>
              </w:rPr>
            </w:pPr>
            <w:r w:rsidRPr="004208F5">
              <w:rPr>
                <w:b w:val="0"/>
              </w:rPr>
              <w:t>Nutritional impact</w:t>
            </w:r>
          </w:p>
        </w:tc>
        <w:tc>
          <w:tcPr>
            <w:tcW w:w="708" w:type="dxa"/>
            <w:tcBorders>
              <w:left w:val="none" w:sz="0" w:space="0" w:color="auto"/>
              <w:right w:val="none" w:sz="0" w:space="0" w:color="auto"/>
            </w:tcBorders>
            <w:vAlign w:val="center"/>
          </w:tcPr>
          <w:p w14:paraId="5D25ABAA" w14:textId="7F2F0500" w:rsidR="00251FC0" w:rsidRPr="009E2AE0" w:rsidRDefault="00251FC0" w:rsidP="00A546C3">
            <w:pPr>
              <w:pStyle w:val="FSTableText"/>
              <w:jc w:val="center"/>
              <w:cnfStyle w:val="000000010000" w:firstRow="0" w:lastRow="0" w:firstColumn="0" w:lastColumn="0" w:oddVBand="0" w:evenVBand="0" w:oddHBand="0" w:evenHBand="1" w:firstRowFirstColumn="0" w:firstRowLastColumn="0" w:lastRowFirstColumn="0" w:lastRowLastColumn="0"/>
            </w:pPr>
            <w:r w:rsidRPr="009E2AE0">
              <w:t>31</w:t>
            </w:r>
            <w:r w:rsidR="00A546C3">
              <w:t>4</w:t>
            </w:r>
          </w:p>
        </w:tc>
        <w:tc>
          <w:tcPr>
            <w:tcW w:w="1276" w:type="dxa"/>
            <w:tcBorders>
              <w:left w:val="none" w:sz="0" w:space="0" w:color="auto"/>
              <w:right w:val="none" w:sz="0" w:space="0" w:color="auto"/>
            </w:tcBorders>
            <w:vAlign w:val="center"/>
          </w:tcPr>
          <w:p w14:paraId="5B01097E" w14:textId="2F1B7C0A" w:rsidR="00251FC0" w:rsidRPr="009E2AE0" w:rsidRDefault="00251FC0" w:rsidP="00251FC0">
            <w:pPr>
              <w:pStyle w:val="FSTableText"/>
              <w:jc w:val="center"/>
              <w:cnfStyle w:val="000000010000" w:firstRow="0" w:lastRow="0" w:firstColumn="0" w:lastColumn="0" w:oddVBand="0" w:evenVBand="0" w:oddHBand="0" w:evenHBand="1" w:firstRowFirstColumn="0" w:firstRowLastColumn="0" w:lastRowFirstColumn="0" w:lastRowLastColumn="0"/>
            </w:pPr>
            <w:r w:rsidRPr="009E2AE0">
              <w:t>284</w:t>
            </w:r>
          </w:p>
        </w:tc>
        <w:tc>
          <w:tcPr>
            <w:tcW w:w="1134" w:type="dxa"/>
            <w:tcBorders>
              <w:left w:val="none" w:sz="0" w:space="0" w:color="auto"/>
              <w:right w:val="none" w:sz="0" w:space="0" w:color="auto"/>
            </w:tcBorders>
            <w:vAlign w:val="center"/>
          </w:tcPr>
          <w:p w14:paraId="5D17F468" w14:textId="4EFB1566" w:rsidR="00251FC0" w:rsidRPr="009E2AE0" w:rsidRDefault="00A546C3" w:rsidP="00251FC0">
            <w:pPr>
              <w:pStyle w:val="FSTableText"/>
              <w:jc w:val="center"/>
              <w:cnfStyle w:val="000000010000" w:firstRow="0" w:lastRow="0" w:firstColumn="0" w:lastColumn="0" w:oddVBand="0" w:evenVBand="0" w:oddHBand="0" w:evenHBand="1" w:firstRowFirstColumn="0" w:firstRowLastColumn="0" w:lastRowFirstColumn="0" w:lastRowLastColumn="0"/>
            </w:pPr>
            <w:r>
              <w:t>7</w:t>
            </w:r>
          </w:p>
        </w:tc>
        <w:tc>
          <w:tcPr>
            <w:tcW w:w="709" w:type="dxa"/>
            <w:tcBorders>
              <w:left w:val="none" w:sz="0" w:space="0" w:color="auto"/>
              <w:right w:val="none" w:sz="0" w:space="0" w:color="auto"/>
            </w:tcBorders>
            <w:vAlign w:val="center"/>
          </w:tcPr>
          <w:p w14:paraId="0032559D" w14:textId="70514C0F" w:rsidR="00251FC0" w:rsidRPr="009E2AE0" w:rsidRDefault="00251FC0" w:rsidP="00251FC0">
            <w:pPr>
              <w:pStyle w:val="FSTableText"/>
              <w:jc w:val="center"/>
              <w:cnfStyle w:val="000000010000" w:firstRow="0" w:lastRow="0" w:firstColumn="0" w:lastColumn="0" w:oddVBand="0" w:evenVBand="0" w:oddHBand="0" w:evenHBand="1" w:firstRowFirstColumn="0" w:firstRowLastColumn="0" w:lastRowFirstColumn="0" w:lastRowLastColumn="0"/>
            </w:pPr>
            <w:r>
              <w:t>2</w:t>
            </w:r>
          </w:p>
        </w:tc>
        <w:tc>
          <w:tcPr>
            <w:tcW w:w="1559" w:type="dxa"/>
            <w:tcBorders>
              <w:left w:val="none" w:sz="0" w:space="0" w:color="auto"/>
              <w:right w:val="none" w:sz="0" w:space="0" w:color="auto"/>
            </w:tcBorders>
            <w:vAlign w:val="center"/>
          </w:tcPr>
          <w:p w14:paraId="4CDBAF69" w14:textId="770E79A3" w:rsidR="00251FC0" w:rsidRDefault="003E4EEA" w:rsidP="00251FC0">
            <w:pPr>
              <w:pStyle w:val="FSTableText"/>
              <w:jc w:val="center"/>
              <w:cnfStyle w:val="000000010000" w:firstRow="0" w:lastRow="0" w:firstColumn="0" w:lastColumn="0" w:oddVBand="0" w:evenVBand="0" w:oddHBand="0" w:evenHBand="1" w:firstRowFirstColumn="0" w:firstRowLastColumn="0" w:lastRowFirstColumn="0" w:lastRowLastColumn="0"/>
            </w:pPr>
            <w:r>
              <w:t>10</w:t>
            </w:r>
          </w:p>
        </w:tc>
        <w:tc>
          <w:tcPr>
            <w:tcW w:w="1418" w:type="dxa"/>
            <w:tcBorders>
              <w:left w:val="none" w:sz="0" w:space="0" w:color="auto"/>
              <w:right w:val="none" w:sz="0" w:space="0" w:color="auto"/>
            </w:tcBorders>
            <w:vAlign w:val="center"/>
          </w:tcPr>
          <w:p w14:paraId="7D73CB07" w14:textId="7E4987AD" w:rsidR="00251FC0" w:rsidRDefault="00251FC0" w:rsidP="00251FC0">
            <w:pPr>
              <w:pStyle w:val="FSTableText"/>
              <w:jc w:val="center"/>
              <w:cnfStyle w:val="000000010000" w:firstRow="0" w:lastRow="0" w:firstColumn="0" w:lastColumn="0" w:oddVBand="0" w:evenVBand="0" w:oddHBand="0" w:evenHBand="1" w:firstRowFirstColumn="0" w:firstRowLastColumn="0" w:lastRowFirstColumn="0" w:lastRowLastColumn="0"/>
            </w:pPr>
            <w:r>
              <w:t>8</w:t>
            </w:r>
          </w:p>
        </w:tc>
        <w:tc>
          <w:tcPr>
            <w:tcW w:w="850" w:type="dxa"/>
            <w:tcBorders>
              <w:left w:val="none" w:sz="0" w:space="0" w:color="auto"/>
            </w:tcBorders>
            <w:vAlign w:val="center"/>
          </w:tcPr>
          <w:p w14:paraId="11013DA0" w14:textId="2FAB9641" w:rsidR="00251FC0" w:rsidRDefault="003E4EEA" w:rsidP="00251FC0">
            <w:pPr>
              <w:pStyle w:val="FSTableText"/>
              <w:jc w:val="center"/>
              <w:cnfStyle w:val="000000010000" w:firstRow="0" w:lastRow="0" w:firstColumn="0" w:lastColumn="0" w:oddVBand="0" w:evenVBand="0" w:oddHBand="0" w:evenHBand="1" w:firstRowFirstColumn="0" w:firstRowLastColumn="0" w:lastRowFirstColumn="0" w:lastRowLastColumn="0"/>
            </w:pPr>
            <w:r>
              <w:t>3</w:t>
            </w:r>
          </w:p>
        </w:tc>
      </w:tr>
      <w:tr w:rsidR="00811038" w:rsidRPr="000778D6" w14:paraId="736B06F6" w14:textId="750521E0" w:rsidTr="000C5D5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4" w:type="dxa"/>
            <w:tcBorders>
              <w:right w:val="none" w:sz="0" w:space="0" w:color="auto"/>
            </w:tcBorders>
            <w:vAlign w:val="center"/>
          </w:tcPr>
          <w:p w14:paraId="01DC95CE" w14:textId="6915B7F5" w:rsidR="00251FC0" w:rsidRPr="004208F5" w:rsidRDefault="00251FC0" w:rsidP="00251FC0">
            <w:pPr>
              <w:pStyle w:val="FSTableText"/>
              <w:rPr>
                <w:b w:val="0"/>
              </w:rPr>
            </w:pPr>
            <w:r w:rsidRPr="004208F5">
              <w:rPr>
                <w:b w:val="0"/>
              </w:rPr>
              <w:t>Technological justification</w:t>
            </w:r>
          </w:p>
        </w:tc>
        <w:tc>
          <w:tcPr>
            <w:tcW w:w="708" w:type="dxa"/>
            <w:tcBorders>
              <w:left w:val="none" w:sz="0" w:space="0" w:color="auto"/>
              <w:right w:val="none" w:sz="0" w:space="0" w:color="auto"/>
            </w:tcBorders>
            <w:vAlign w:val="center"/>
          </w:tcPr>
          <w:p w14:paraId="1D2251B3" w14:textId="6152D9B4" w:rsidR="00251FC0" w:rsidRPr="009E2AE0" w:rsidRDefault="00A546C3" w:rsidP="00251FC0">
            <w:pPr>
              <w:pStyle w:val="FSTableText"/>
              <w:jc w:val="center"/>
              <w:cnfStyle w:val="000000100000" w:firstRow="0" w:lastRow="0" w:firstColumn="0" w:lastColumn="0" w:oddVBand="0" w:evenVBand="0" w:oddHBand="1" w:evenHBand="0" w:firstRowFirstColumn="0" w:firstRowLastColumn="0" w:lastRowFirstColumn="0" w:lastRowLastColumn="0"/>
              <w:rPr>
                <w:bCs/>
              </w:rPr>
            </w:pPr>
            <w:r>
              <w:rPr>
                <w:bCs/>
              </w:rPr>
              <w:t>63</w:t>
            </w:r>
          </w:p>
        </w:tc>
        <w:tc>
          <w:tcPr>
            <w:tcW w:w="1276" w:type="dxa"/>
            <w:tcBorders>
              <w:left w:val="none" w:sz="0" w:space="0" w:color="auto"/>
              <w:right w:val="none" w:sz="0" w:space="0" w:color="auto"/>
            </w:tcBorders>
            <w:vAlign w:val="center"/>
          </w:tcPr>
          <w:p w14:paraId="375A1A80" w14:textId="4C724939" w:rsidR="00251FC0" w:rsidRPr="009E2AE0" w:rsidRDefault="00251FC0" w:rsidP="00251FC0">
            <w:pPr>
              <w:pStyle w:val="FSTableText"/>
              <w:jc w:val="center"/>
              <w:cnfStyle w:val="000000100000" w:firstRow="0" w:lastRow="0" w:firstColumn="0" w:lastColumn="0" w:oddVBand="0" w:evenVBand="0" w:oddHBand="1" w:evenHBand="0" w:firstRowFirstColumn="0" w:firstRowLastColumn="0" w:lastRowFirstColumn="0" w:lastRowLastColumn="0"/>
              <w:rPr>
                <w:bCs/>
              </w:rPr>
            </w:pPr>
            <w:r w:rsidRPr="009E2AE0">
              <w:rPr>
                <w:bCs/>
              </w:rPr>
              <w:t>37</w:t>
            </w:r>
          </w:p>
        </w:tc>
        <w:tc>
          <w:tcPr>
            <w:tcW w:w="1134" w:type="dxa"/>
            <w:tcBorders>
              <w:left w:val="none" w:sz="0" w:space="0" w:color="auto"/>
              <w:right w:val="none" w:sz="0" w:space="0" w:color="auto"/>
            </w:tcBorders>
            <w:vAlign w:val="center"/>
          </w:tcPr>
          <w:p w14:paraId="6DE4890F" w14:textId="0C961A27" w:rsidR="00251FC0" w:rsidRPr="009E2AE0" w:rsidRDefault="00A546C3" w:rsidP="00251FC0">
            <w:pPr>
              <w:pStyle w:val="FSTableText"/>
              <w:jc w:val="center"/>
              <w:cnfStyle w:val="000000100000" w:firstRow="0" w:lastRow="0" w:firstColumn="0" w:lastColumn="0" w:oddVBand="0" w:evenVBand="0" w:oddHBand="1" w:evenHBand="0" w:firstRowFirstColumn="0" w:firstRowLastColumn="0" w:lastRowFirstColumn="0" w:lastRowLastColumn="0"/>
              <w:rPr>
                <w:bCs/>
              </w:rPr>
            </w:pPr>
            <w:r>
              <w:rPr>
                <w:bCs/>
              </w:rPr>
              <w:t>16</w:t>
            </w:r>
          </w:p>
        </w:tc>
        <w:tc>
          <w:tcPr>
            <w:tcW w:w="709" w:type="dxa"/>
            <w:tcBorders>
              <w:left w:val="none" w:sz="0" w:space="0" w:color="auto"/>
              <w:right w:val="none" w:sz="0" w:space="0" w:color="auto"/>
            </w:tcBorders>
            <w:vAlign w:val="center"/>
          </w:tcPr>
          <w:p w14:paraId="54EE67FF" w14:textId="0A16A100" w:rsidR="00251FC0" w:rsidRPr="009E2AE0" w:rsidRDefault="00A546C3" w:rsidP="00251FC0">
            <w:pPr>
              <w:pStyle w:val="FSTableText"/>
              <w:jc w:val="center"/>
              <w:cnfStyle w:val="000000100000" w:firstRow="0" w:lastRow="0" w:firstColumn="0" w:lastColumn="0" w:oddVBand="0" w:evenVBand="0" w:oddHBand="1" w:evenHBand="0" w:firstRowFirstColumn="0" w:firstRowLastColumn="0" w:lastRowFirstColumn="0" w:lastRowLastColumn="0"/>
              <w:rPr>
                <w:bCs/>
              </w:rPr>
            </w:pPr>
            <w:r>
              <w:rPr>
                <w:bCs/>
              </w:rPr>
              <w:t>3</w:t>
            </w:r>
          </w:p>
        </w:tc>
        <w:tc>
          <w:tcPr>
            <w:tcW w:w="1559" w:type="dxa"/>
            <w:tcBorders>
              <w:left w:val="none" w:sz="0" w:space="0" w:color="auto"/>
              <w:right w:val="none" w:sz="0" w:space="0" w:color="auto"/>
            </w:tcBorders>
            <w:vAlign w:val="center"/>
          </w:tcPr>
          <w:p w14:paraId="227F40CD" w14:textId="080A68A1" w:rsidR="00251FC0" w:rsidRDefault="007F11F6" w:rsidP="00251FC0">
            <w:pPr>
              <w:pStyle w:val="FSTableText"/>
              <w:jc w:val="center"/>
              <w:cnfStyle w:val="000000100000" w:firstRow="0" w:lastRow="0" w:firstColumn="0" w:lastColumn="0" w:oddVBand="0" w:evenVBand="0" w:oddHBand="1" w:evenHBand="0" w:firstRowFirstColumn="0" w:firstRowLastColumn="0" w:lastRowFirstColumn="0" w:lastRowLastColumn="0"/>
              <w:rPr>
                <w:bCs/>
              </w:rPr>
            </w:pPr>
            <w:r>
              <w:rPr>
                <w:bCs/>
              </w:rPr>
              <w:t>0</w:t>
            </w:r>
          </w:p>
        </w:tc>
        <w:tc>
          <w:tcPr>
            <w:tcW w:w="1418" w:type="dxa"/>
            <w:tcBorders>
              <w:left w:val="none" w:sz="0" w:space="0" w:color="auto"/>
              <w:right w:val="none" w:sz="0" w:space="0" w:color="auto"/>
            </w:tcBorders>
            <w:vAlign w:val="center"/>
          </w:tcPr>
          <w:p w14:paraId="20292955" w14:textId="4C978783" w:rsidR="00251FC0" w:rsidRDefault="007F11F6" w:rsidP="00251FC0">
            <w:pPr>
              <w:pStyle w:val="FSTableText"/>
              <w:jc w:val="center"/>
              <w:cnfStyle w:val="000000100000" w:firstRow="0" w:lastRow="0" w:firstColumn="0" w:lastColumn="0" w:oddVBand="0" w:evenVBand="0" w:oddHBand="1" w:evenHBand="0" w:firstRowFirstColumn="0" w:firstRowLastColumn="0" w:lastRowFirstColumn="0" w:lastRowLastColumn="0"/>
              <w:rPr>
                <w:bCs/>
              </w:rPr>
            </w:pPr>
            <w:r>
              <w:rPr>
                <w:bCs/>
              </w:rPr>
              <w:t>7</w:t>
            </w:r>
          </w:p>
        </w:tc>
        <w:tc>
          <w:tcPr>
            <w:tcW w:w="850" w:type="dxa"/>
            <w:tcBorders>
              <w:left w:val="none" w:sz="0" w:space="0" w:color="auto"/>
            </w:tcBorders>
            <w:vAlign w:val="center"/>
          </w:tcPr>
          <w:p w14:paraId="60F18D9A" w14:textId="0BD31C07" w:rsidR="00251FC0" w:rsidRDefault="007F11F6" w:rsidP="00251FC0">
            <w:pPr>
              <w:pStyle w:val="FSTableText"/>
              <w:jc w:val="center"/>
              <w:cnfStyle w:val="000000100000" w:firstRow="0" w:lastRow="0" w:firstColumn="0" w:lastColumn="0" w:oddVBand="0" w:evenVBand="0" w:oddHBand="1" w:evenHBand="0" w:firstRowFirstColumn="0" w:firstRowLastColumn="0" w:lastRowFirstColumn="0" w:lastRowLastColumn="0"/>
              <w:rPr>
                <w:bCs/>
              </w:rPr>
            </w:pPr>
            <w:r>
              <w:rPr>
                <w:bCs/>
              </w:rPr>
              <w:t>0</w:t>
            </w:r>
          </w:p>
        </w:tc>
      </w:tr>
      <w:tr w:rsidR="00811038" w:rsidRPr="008267B8" w14:paraId="6A3D91B8" w14:textId="17F165A4" w:rsidTr="000C5D54">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4" w:type="dxa"/>
            <w:tcBorders>
              <w:right w:val="none" w:sz="0" w:space="0" w:color="auto"/>
            </w:tcBorders>
            <w:vAlign w:val="center"/>
          </w:tcPr>
          <w:p w14:paraId="6BF70C77" w14:textId="40A4E130" w:rsidR="00251FC0" w:rsidRPr="004208F5" w:rsidRDefault="00251FC0" w:rsidP="00251FC0">
            <w:pPr>
              <w:pStyle w:val="FSTableText"/>
              <w:rPr>
                <w:b w:val="0"/>
              </w:rPr>
            </w:pPr>
            <w:r w:rsidRPr="004208F5">
              <w:rPr>
                <w:b w:val="0"/>
              </w:rPr>
              <w:t xml:space="preserve">Labelling </w:t>
            </w:r>
          </w:p>
        </w:tc>
        <w:tc>
          <w:tcPr>
            <w:tcW w:w="708" w:type="dxa"/>
            <w:tcBorders>
              <w:left w:val="none" w:sz="0" w:space="0" w:color="auto"/>
              <w:right w:val="none" w:sz="0" w:space="0" w:color="auto"/>
            </w:tcBorders>
            <w:vAlign w:val="center"/>
          </w:tcPr>
          <w:p w14:paraId="4DD7FC46" w14:textId="42E1EA59" w:rsidR="00251FC0" w:rsidRPr="009E2AE0" w:rsidRDefault="00A546C3" w:rsidP="007F11F6">
            <w:pPr>
              <w:pStyle w:val="FSTableText"/>
              <w:jc w:val="center"/>
              <w:cnfStyle w:val="000000010000" w:firstRow="0" w:lastRow="0" w:firstColumn="0" w:lastColumn="0" w:oddVBand="0" w:evenVBand="0" w:oddHBand="0" w:evenHBand="1" w:firstRowFirstColumn="0" w:firstRowLastColumn="0" w:lastRowFirstColumn="0" w:lastRowLastColumn="0"/>
            </w:pPr>
            <w:r>
              <w:t>250</w:t>
            </w:r>
          </w:p>
        </w:tc>
        <w:tc>
          <w:tcPr>
            <w:tcW w:w="1276" w:type="dxa"/>
            <w:tcBorders>
              <w:left w:val="none" w:sz="0" w:space="0" w:color="auto"/>
              <w:right w:val="none" w:sz="0" w:space="0" w:color="auto"/>
            </w:tcBorders>
            <w:vAlign w:val="center"/>
          </w:tcPr>
          <w:p w14:paraId="768225E5" w14:textId="7D259D18" w:rsidR="00251FC0" w:rsidRPr="009E2AE0" w:rsidRDefault="00251FC0" w:rsidP="00251FC0">
            <w:pPr>
              <w:pStyle w:val="FSTableText"/>
              <w:jc w:val="center"/>
              <w:cnfStyle w:val="000000010000" w:firstRow="0" w:lastRow="0" w:firstColumn="0" w:lastColumn="0" w:oddVBand="0" w:evenVBand="0" w:oddHBand="0" w:evenHBand="1" w:firstRowFirstColumn="0" w:firstRowLastColumn="0" w:lastRowFirstColumn="0" w:lastRowLastColumn="0"/>
            </w:pPr>
            <w:r w:rsidRPr="009E2AE0">
              <w:t>227</w:t>
            </w:r>
          </w:p>
        </w:tc>
        <w:tc>
          <w:tcPr>
            <w:tcW w:w="1134" w:type="dxa"/>
            <w:tcBorders>
              <w:left w:val="none" w:sz="0" w:space="0" w:color="auto"/>
              <w:right w:val="none" w:sz="0" w:space="0" w:color="auto"/>
            </w:tcBorders>
            <w:vAlign w:val="center"/>
          </w:tcPr>
          <w:p w14:paraId="25954324" w14:textId="054044C4" w:rsidR="00251FC0" w:rsidRPr="009E2AE0" w:rsidRDefault="00A546C3" w:rsidP="00251FC0">
            <w:pPr>
              <w:pStyle w:val="FSTableText"/>
              <w:jc w:val="center"/>
              <w:cnfStyle w:val="000000010000" w:firstRow="0" w:lastRow="0" w:firstColumn="0" w:lastColumn="0" w:oddVBand="0" w:evenVBand="0" w:oddHBand="0" w:evenHBand="1" w:firstRowFirstColumn="0" w:firstRowLastColumn="0" w:lastRowFirstColumn="0" w:lastRowLastColumn="0"/>
            </w:pPr>
            <w:r>
              <w:t>8</w:t>
            </w:r>
          </w:p>
        </w:tc>
        <w:tc>
          <w:tcPr>
            <w:tcW w:w="709" w:type="dxa"/>
            <w:tcBorders>
              <w:left w:val="none" w:sz="0" w:space="0" w:color="auto"/>
              <w:right w:val="none" w:sz="0" w:space="0" w:color="auto"/>
            </w:tcBorders>
            <w:vAlign w:val="center"/>
          </w:tcPr>
          <w:p w14:paraId="60798FBA" w14:textId="5CC9B12B" w:rsidR="00251FC0" w:rsidRPr="009E2AE0" w:rsidRDefault="007F11F6" w:rsidP="00251FC0">
            <w:pPr>
              <w:pStyle w:val="FSTableText"/>
              <w:jc w:val="center"/>
              <w:cnfStyle w:val="000000010000" w:firstRow="0" w:lastRow="0" w:firstColumn="0" w:lastColumn="0" w:oddVBand="0" w:evenVBand="0" w:oddHBand="0" w:evenHBand="1" w:firstRowFirstColumn="0" w:firstRowLastColumn="0" w:lastRowFirstColumn="0" w:lastRowLastColumn="0"/>
            </w:pPr>
            <w:r>
              <w:t>2</w:t>
            </w:r>
          </w:p>
        </w:tc>
        <w:tc>
          <w:tcPr>
            <w:tcW w:w="1559" w:type="dxa"/>
            <w:tcBorders>
              <w:left w:val="none" w:sz="0" w:space="0" w:color="auto"/>
              <w:right w:val="none" w:sz="0" w:space="0" w:color="auto"/>
            </w:tcBorders>
            <w:vAlign w:val="center"/>
          </w:tcPr>
          <w:p w14:paraId="7A384612" w14:textId="2CA78DAF" w:rsidR="00251FC0" w:rsidRDefault="007F11F6" w:rsidP="00251FC0">
            <w:pPr>
              <w:pStyle w:val="FSTableText"/>
              <w:jc w:val="center"/>
              <w:cnfStyle w:val="000000010000" w:firstRow="0" w:lastRow="0" w:firstColumn="0" w:lastColumn="0" w:oddVBand="0" w:evenVBand="0" w:oddHBand="0" w:evenHBand="1" w:firstRowFirstColumn="0" w:firstRowLastColumn="0" w:lastRowFirstColumn="0" w:lastRowLastColumn="0"/>
            </w:pPr>
            <w:r>
              <w:t>6</w:t>
            </w:r>
          </w:p>
        </w:tc>
        <w:tc>
          <w:tcPr>
            <w:tcW w:w="1418" w:type="dxa"/>
            <w:tcBorders>
              <w:left w:val="none" w:sz="0" w:space="0" w:color="auto"/>
              <w:right w:val="none" w:sz="0" w:space="0" w:color="auto"/>
            </w:tcBorders>
            <w:vAlign w:val="center"/>
          </w:tcPr>
          <w:p w14:paraId="100EDE16" w14:textId="2C9A3800" w:rsidR="00251FC0" w:rsidRDefault="007F11F6" w:rsidP="00251FC0">
            <w:pPr>
              <w:pStyle w:val="FSTableText"/>
              <w:jc w:val="center"/>
              <w:cnfStyle w:val="000000010000" w:firstRow="0" w:lastRow="0" w:firstColumn="0" w:lastColumn="0" w:oddVBand="0" w:evenVBand="0" w:oddHBand="0" w:evenHBand="1" w:firstRowFirstColumn="0" w:firstRowLastColumn="0" w:lastRowFirstColumn="0" w:lastRowLastColumn="0"/>
            </w:pPr>
            <w:r>
              <w:t>7</w:t>
            </w:r>
          </w:p>
        </w:tc>
        <w:tc>
          <w:tcPr>
            <w:tcW w:w="850" w:type="dxa"/>
            <w:tcBorders>
              <w:left w:val="none" w:sz="0" w:space="0" w:color="auto"/>
            </w:tcBorders>
            <w:vAlign w:val="center"/>
          </w:tcPr>
          <w:p w14:paraId="22D4F236" w14:textId="4C460B6E" w:rsidR="00251FC0" w:rsidRDefault="007F11F6" w:rsidP="00251FC0">
            <w:pPr>
              <w:pStyle w:val="FSTableText"/>
              <w:jc w:val="center"/>
              <w:cnfStyle w:val="000000010000" w:firstRow="0" w:lastRow="0" w:firstColumn="0" w:lastColumn="0" w:oddVBand="0" w:evenVBand="0" w:oddHBand="0" w:evenHBand="1" w:firstRowFirstColumn="0" w:firstRowLastColumn="0" w:lastRowFirstColumn="0" w:lastRowLastColumn="0"/>
            </w:pPr>
            <w:r>
              <w:t>0</w:t>
            </w:r>
          </w:p>
        </w:tc>
      </w:tr>
      <w:tr w:rsidR="00811038" w:rsidRPr="008267B8" w14:paraId="6B9E23E3" w14:textId="006A9410" w:rsidTr="00B46DE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4" w:type="dxa"/>
            <w:tcBorders>
              <w:right w:val="none" w:sz="0" w:space="0" w:color="auto"/>
            </w:tcBorders>
            <w:vAlign w:val="center"/>
          </w:tcPr>
          <w:p w14:paraId="570C3149" w14:textId="38C31500" w:rsidR="00251FC0" w:rsidRPr="004208F5" w:rsidRDefault="007664AB" w:rsidP="007664AB">
            <w:pPr>
              <w:pStyle w:val="FSTableText"/>
              <w:rPr>
                <w:b w:val="0"/>
              </w:rPr>
            </w:pPr>
            <w:r>
              <w:rPr>
                <w:b w:val="0"/>
              </w:rPr>
              <w:t>Monitoring and</w:t>
            </w:r>
            <w:r w:rsidR="00251FC0">
              <w:rPr>
                <w:b w:val="0"/>
              </w:rPr>
              <w:t xml:space="preserve"> enforcement</w:t>
            </w:r>
          </w:p>
        </w:tc>
        <w:tc>
          <w:tcPr>
            <w:tcW w:w="708" w:type="dxa"/>
            <w:tcBorders>
              <w:left w:val="none" w:sz="0" w:space="0" w:color="auto"/>
              <w:right w:val="none" w:sz="0" w:space="0" w:color="auto"/>
            </w:tcBorders>
            <w:vAlign w:val="center"/>
          </w:tcPr>
          <w:p w14:paraId="400EF49D" w14:textId="4F3CCEA5" w:rsidR="00251FC0" w:rsidRPr="009E2AE0" w:rsidRDefault="00251FC0" w:rsidP="00251FC0">
            <w:pPr>
              <w:pStyle w:val="FSTableText"/>
              <w:jc w:val="center"/>
              <w:cnfStyle w:val="000000100000" w:firstRow="0" w:lastRow="0" w:firstColumn="0" w:lastColumn="0" w:oddVBand="0" w:evenVBand="0" w:oddHBand="1" w:evenHBand="0" w:firstRowFirstColumn="0" w:firstRowLastColumn="0" w:lastRowFirstColumn="0" w:lastRowLastColumn="0"/>
            </w:pPr>
            <w:r w:rsidRPr="009E2AE0">
              <w:t>8</w:t>
            </w:r>
          </w:p>
        </w:tc>
        <w:tc>
          <w:tcPr>
            <w:tcW w:w="1276" w:type="dxa"/>
            <w:tcBorders>
              <w:left w:val="none" w:sz="0" w:space="0" w:color="auto"/>
              <w:right w:val="none" w:sz="0" w:space="0" w:color="auto"/>
            </w:tcBorders>
            <w:vAlign w:val="center"/>
          </w:tcPr>
          <w:p w14:paraId="7AEFFBC4" w14:textId="2FBBA21F" w:rsidR="00251FC0" w:rsidRPr="009E2AE0" w:rsidRDefault="00251FC0" w:rsidP="00251FC0">
            <w:pPr>
              <w:pStyle w:val="FSTableText"/>
              <w:jc w:val="center"/>
              <w:cnfStyle w:val="000000100000" w:firstRow="0" w:lastRow="0" w:firstColumn="0" w:lastColumn="0" w:oddVBand="0" w:evenVBand="0" w:oddHBand="1" w:evenHBand="0" w:firstRowFirstColumn="0" w:firstRowLastColumn="0" w:lastRowFirstColumn="0" w:lastRowLastColumn="0"/>
            </w:pPr>
            <w:r w:rsidRPr="009E2AE0">
              <w:t>3</w:t>
            </w:r>
          </w:p>
        </w:tc>
        <w:tc>
          <w:tcPr>
            <w:tcW w:w="1134" w:type="dxa"/>
            <w:tcBorders>
              <w:left w:val="none" w:sz="0" w:space="0" w:color="auto"/>
              <w:right w:val="none" w:sz="0" w:space="0" w:color="auto"/>
            </w:tcBorders>
            <w:vAlign w:val="center"/>
          </w:tcPr>
          <w:p w14:paraId="628035D5" w14:textId="3B3D931A" w:rsidR="00251FC0" w:rsidRPr="009E2AE0" w:rsidRDefault="007F11F6" w:rsidP="00251FC0">
            <w:pPr>
              <w:pStyle w:val="FSTableText"/>
              <w:jc w:val="center"/>
              <w:cnfStyle w:val="000000100000" w:firstRow="0" w:lastRow="0" w:firstColumn="0" w:lastColumn="0" w:oddVBand="0" w:evenVBand="0" w:oddHBand="1" w:evenHBand="0" w:firstRowFirstColumn="0" w:firstRowLastColumn="0" w:lastRowFirstColumn="0" w:lastRowLastColumn="0"/>
            </w:pPr>
            <w:r>
              <w:t>1</w:t>
            </w:r>
          </w:p>
        </w:tc>
        <w:tc>
          <w:tcPr>
            <w:tcW w:w="709" w:type="dxa"/>
            <w:tcBorders>
              <w:left w:val="none" w:sz="0" w:space="0" w:color="auto"/>
              <w:right w:val="none" w:sz="0" w:space="0" w:color="auto"/>
            </w:tcBorders>
            <w:vAlign w:val="center"/>
          </w:tcPr>
          <w:p w14:paraId="084BC158" w14:textId="5F804D3C" w:rsidR="00251FC0" w:rsidRPr="009E2AE0" w:rsidRDefault="007F11F6" w:rsidP="00251FC0">
            <w:pPr>
              <w:pStyle w:val="FSTableText"/>
              <w:jc w:val="center"/>
              <w:cnfStyle w:val="000000100000" w:firstRow="0" w:lastRow="0" w:firstColumn="0" w:lastColumn="0" w:oddVBand="0" w:evenVBand="0" w:oddHBand="1" w:evenHBand="0" w:firstRowFirstColumn="0" w:firstRowLastColumn="0" w:lastRowFirstColumn="0" w:lastRowLastColumn="0"/>
            </w:pPr>
            <w:r>
              <w:t>2</w:t>
            </w:r>
          </w:p>
        </w:tc>
        <w:tc>
          <w:tcPr>
            <w:tcW w:w="1559" w:type="dxa"/>
            <w:tcBorders>
              <w:left w:val="none" w:sz="0" w:space="0" w:color="auto"/>
              <w:right w:val="none" w:sz="0" w:space="0" w:color="auto"/>
            </w:tcBorders>
            <w:vAlign w:val="center"/>
          </w:tcPr>
          <w:p w14:paraId="0C961D70" w14:textId="3E9C7802" w:rsidR="00251FC0" w:rsidRDefault="007F11F6" w:rsidP="00251FC0">
            <w:pPr>
              <w:pStyle w:val="FSTableText"/>
              <w:jc w:val="center"/>
              <w:cnfStyle w:val="000000100000" w:firstRow="0" w:lastRow="0" w:firstColumn="0" w:lastColumn="0" w:oddVBand="0" w:evenVBand="0" w:oddHBand="1" w:evenHBand="0" w:firstRowFirstColumn="0" w:firstRowLastColumn="0" w:lastRowFirstColumn="0" w:lastRowLastColumn="0"/>
            </w:pPr>
            <w:r>
              <w:t>0</w:t>
            </w:r>
          </w:p>
        </w:tc>
        <w:tc>
          <w:tcPr>
            <w:tcW w:w="1418" w:type="dxa"/>
            <w:tcBorders>
              <w:left w:val="none" w:sz="0" w:space="0" w:color="auto"/>
              <w:right w:val="none" w:sz="0" w:space="0" w:color="auto"/>
            </w:tcBorders>
            <w:vAlign w:val="center"/>
          </w:tcPr>
          <w:p w14:paraId="26DB7A3F" w14:textId="103B4D88" w:rsidR="00251FC0" w:rsidRDefault="007F11F6" w:rsidP="00251FC0">
            <w:pPr>
              <w:pStyle w:val="FSTableText"/>
              <w:jc w:val="center"/>
              <w:cnfStyle w:val="000000100000" w:firstRow="0" w:lastRow="0" w:firstColumn="0" w:lastColumn="0" w:oddVBand="0" w:evenVBand="0" w:oddHBand="1" w:evenHBand="0" w:firstRowFirstColumn="0" w:firstRowLastColumn="0" w:lastRowFirstColumn="0" w:lastRowLastColumn="0"/>
            </w:pPr>
            <w:r>
              <w:rPr>
                <w:bCs/>
              </w:rPr>
              <w:t>2</w:t>
            </w:r>
          </w:p>
        </w:tc>
        <w:tc>
          <w:tcPr>
            <w:tcW w:w="850" w:type="dxa"/>
            <w:tcBorders>
              <w:left w:val="none" w:sz="0" w:space="0" w:color="auto"/>
            </w:tcBorders>
            <w:vAlign w:val="center"/>
          </w:tcPr>
          <w:p w14:paraId="13BED559" w14:textId="6D7940EF" w:rsidR="00251FC0" w:rsidRDefault="007F11F6" w:rsidP="00251FC0">
            <w:pPr>
              <w:pStyle w:val="FSTableText"/>
              <w:jc w:val="center"/>
              <w:cnfStyle w:val="000000100000" w:firstRow="0" w:lastRow="0" w:firstColumn="0" w:lastColumn="0" w:oddVBand="0" w:evenVBand="0" w:oddHBand="1" w:evenHBand="0" w:firstRowFirstColumn="0" w:firstRowLastColumn="0" w:lastRowFirstColumn="0" w:lastRowLastColumn="0"/>
            </w:pPr>
            <w:r>
              <w:t>0</w:t>
            </w:r>
          </w:p>
        </w:tc>
      </w:tr>
      <w:tr w:rsidR="00607253" w:rsidRPr="008267B8" w14:paraId="4EEB1726" w14:textId="77777777" w:rsidTr="000C5D54">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64" w:type="dxa"/>
            <w:tcBorders>
              <w:right w:val="none" w:sz="0" w:space="0" w:color="auto"/>
            </w:tcBorders>
            <w:vAlign w:val="center"/>
          </w:tcPr>
          <w:p w14:paraId="750A7F66" w14:textId="38CBAEEB" w:rsidR="00607253" w:rsidRDefault="00607253" w:rsidP="005874FA">
            <w:pPr>
              <w:pStyle w:val="FSTableText"/>
              <w:rPr>
                <w:b w:val="0"/>
              </w:rPr>
            </w:pPr>
            <w:r>
              <w:rPr>
                <w:b w:val="0"/>
              </w:rPr>
              <w:t>Other issues**</w:t>
            </w:r>
          </w:p>
        </w:tc>
        <w:tc>
          <w:tcPr>
            <w:tcW w:w="708" w:type="dxa"/>
            <w:tcBorders>
              <w:left w:val="none" w:sz="0" w:space="0" w:color="auto"/>
              <w:right w:val="none" w:sz="0" w:space="0" w:color="auto"/>
            </w:tcBorders>
            <w:vAlign w:val="center"/>
          </w:tcPr>
          <w:p w14:paraId="2EC65F25" w14:textId="0CFD2867" w:rsidR="00607253" w:rsidRPr="009E2AE0" w:rsidRDefault="00607253" w:rsidP="003434A8">
            <w:pPr>
              <w:pStyle w:val="FSTableText"/>
              <w:cnfStyle w:val="000000010000" w:firstRow="0" w:lastRow="0" w:firstColumn="0" w:lastColumn="0" w:oddVBand="0" w:evenVBand="0" w:oddHBand="0" w:evenHBand="1" w:firstRowFirstColumn="0" w:firstRowLastColumn="0" w:lastRowFirstColumn="0" w:lastRowLastColumn="0"/>
            </w:pPr>
            <w:r>
              <w:t xml:space="preserve"> </w:t>
            </w:r>
            <w:r w:rsidR="003434A8">
              <w:t>329</w:t>
            </w:r>
            <w:r w:rsidR="003434A8" w:rsidRPr="003434A8">
              <w:rPr>
                <w:vertAlign w:val="superscript"/>
              </w:rPr>
              <w:t>#</w:t>
            </w:r>
          </w:p>
        </w:tc>
        <w:tc>
          <w:tcPr>
            <w:tcW w:w="1276" w:type="dxa"/>
            <w:tcBorders>
              <w:left w:val="none" w:sz="0" w:space="0" w:color="auto"/>
              <w:right w:val="none" w:sz="0" w:space="0" w:color="auto"/>
            </w:tcBorders>
            <w:vAlign w:val="center"/>
          </w:tcPr>
          <w:p w14:paraId="0B3CE849" w14:textId="581AF38E" w:rsidR="00607253" w:rsidRPr="009E2AE0" w:rsidRDefault="00607253" w:rsidP="00251FC0">
            <w:pPr>
              <w:pStyle w:val="FSTableText"/>
              <w:jc w:val="center"/>
              <w:cnfStyle w:val="000000010000" w:firstRow="0" w:lastRow="0" w:firstColumn="0" w:lastColumn="0" w:oddVBand="0" w:evenVBand="0" w:oddHBand="0" w:evenHBand="1" w:firstRowFirstColumn="0" w:firstRowLastColumn="0" w:lastRowFirstColumn="0" w:lastRowLastColumn="0"/>
            </w:pPr>
            <w:r>
              <w:t>--</w:t>
            </w:r>
          </w:p>
        </w:tc>
        <w:tc>
          <w:tcPr>
            <w:tcW w:w="1134" w:type="dxa"/>
            <w:tcBorders>
              <w:left w:val="none" w:sz="0" w:space="0" w:color="auto"/>
              <w:right w:val="none" w:sz="0" w:space="0" w:color="auto"/>
            </w:tcBorders>
            <w:vAlign w:val="center"/>
          </w:tcPr>
          <w:p w14:paraId="3AA7E3D4" w14:textId="71251402" w:rsidR="00607253" w:rsidRDefault="00607253" w:rsidP="00251FC0">
            <w:pPr>
              <w:pStyle w:val="FSTableText"/>
              <w:jc w:val="center"/>
              <w:cnfStyle w:val="000000010000" w:firstRow="0" w:lastRow="0" w:firstColumn="0" w:lastColumn="0" w:oddVBand="0" w:evenVBand="0" w:oddHBand="0" w:evenHBand="1" w:firstRowFirstColumn="0" w:firstRowLastColumn="0" w:lastRowFirstColumn="0" w:lastRowLastColumn="0"/>
            </w:pPr>
            <w:r>
              <w:t>--</w:t>
            </w:r>
          </w:p>
        </w:tc>
        <w:tc>
          <w:tcPr>
            <w:tcW w:w="709" w:type="dxa"/>
            <w:tcBorders>
              <w:left w:val="none" w:sz="0" w:space="0" w:color="auto"/>
              <w:right w:val="none" w:sz="0" w:space="0" w:color="auto"/>
            </w:tcBorders>
            <w:vAlign w:val="center"/>
          </w:tcPr>
          <w:p w14:paraId="55DC1567" w14:textId="4E5C5701" w:rsidR="00607253" w:rsidRDefault="00607253" w:rsidP="00251FC0">
            <w:pPr>
              <w:pStyle w:val="FSTableText"/>
              <w:jc w:val="center"/>
              <w:cnfStyle w:val="000000010000" w:firstRow="0" w:lastRow="0" w:firstColumn="0" w:lastColumn="0" w:oddVBand="0" w:evenVBand="0" w:oddHBand="0" w:evenHBand="1" w:firstRowFirstColumn="0" w:firstRowLastColumn="0" w:lastRowFirstColumn="0" w:lastRowLastColumn="0"/>
            </w:pPr>
            <w:r>
              <w:t>--</w:t>
            </w:r>
          </w:p>
        </w:tc>
        <w:tc>
          <w:tcPr>
            <w:tcW w:w="1559" w:type="dxa"/>
            <w:tcBorders>
              <w:left w:val="none" w:sz="0" w:space="0" w:color="auto"/>
              <w:right w:val="none" w:sz="0" w:space="0" w:color="auto"/>
            </w:tcBorders>
            <w:vAlign w:val="center"/>
          </w:tcPr>
          <w:p w14:paraId="772E0501" w14:textId="64836073" w:rsidR="00607253" w:rsidRDefault="00607253" w:rsidP="00251FC0">
            <w:pPr>
              <w:pStyle w:val="FSTableText"/>
              <w:jc w:val="center"/>
              <w:cnfStyle w:val="000000010000" w:firstRow="0" w:lastRow="0" w:firstColumn="0" w:lastColumn="0" w:oddVBand="0" w:evenVBand="0" w:oddHBand="0" w:evenHBand="1" w:firstRowFirstColumn="0" w:firstRowLastColumn="0" w:lastRowFirstColumn="0" w:lastRowLastColumn="0"/>
            </w:pPr>
            <w:r>
              <w:t>--</w:t>
            </w:r>
          </w:p>
        </w:tc>
        <w:tc>
          <w:tcPr>
            <w:tcW w:w="1418" w:type="dxa"/>
            <w:tcBorders>
              <w:left w:val="none" w:sz="0" w:space="0" w:color="auto"/>
              <w:right w:val="none" w:sz="0" w:space="0" w:color="auto"/>
            </w:tcBorders>
            <w:vAlign w:val="center"/>
          </w:tcPr>
          <w:p w14:paraId="3B82E97B" w14:textId="4E3192A1" w:rsidR="00607253" w:rsidRDefault="00607253" w:rsidP="00251FC0">
            <w:pPr>
              <w:pStyle w:val="FSTableText"/>
              <w:jc w:val="center"/>
              <w:cnfStyle w:val="000000010000" w:firstRow="0" w:lastRow="0" w:firstColumn="0" w:lastColumn="0" w:oddVBand="0" w:evenVBand="0" w:oddHBand="0" w:evenHBand="1" w:firstRowFirstColumn="0" w:firstRowLastColumn="0" w:lastRowFirstColumn="0" w:lastRowLastColumn="0"/>
              <w:rPr>
                <w:bCs/>
              </w:rPr>
            </w:pPr>
            <w:r>
              <w:rPr>
                <w:bCs/>
              </w:rPr>
              <w:t>--</w:t>
            </w:r>
          </w:p>
        </w:tc>
        <w:tc>
          <w:tcPr>
            <w:tcW w:w="850" w:type="dxa"/>
            <w:tcBorders>
              <w:left w:val="none" w:sz="0" w:space="0" w:color="auto"/>
            </w:tcBorders>
            <w:vAlign w:val="center"/>
          </w:tcPr>
          <w:p w14:paraId="2843DFBD" w14:textId="0161D10C" w:rsidR="00607253" w:rsidRDefault="00607253" w:rsidP="00251FC0">
            <w:pPr>
              <w:pStyle w:val="FSTableText"/>
              <w:jc w:val="center"/>
              <w:cnfStyle w:val="000000010000" w:firstRow="0" w:lastRow="0" w:firstColumn="0" w:lastColumn="0" w:oddVBand="0" w:evenVBand="0" w:oddHBand="0" w:evenHBand="1" w:firstRowFirstColumn="0" w:firstRowLastColumn="0" w:lastRowFirstColumn="0" w:lastRowLastColumn="0"/>
            </w:pPr>
            <w:r>
              <w:t>--</w:t>
            </w:r>
          </w:p>
        </w:tc>
      </w:tr>
    </w:tbl>
    <w:p w14:paraId="2483B064" w14:textId="665E915E" w:rsidR="003E4EEA" w:rsidRDefault="002844B1" w:rsidP="003E4EEA">
      <w:pPr>
        <w:rPr>
          <w:sz w:val="18"/>
          <w:szCs w:val="18"/>
          <w:lang w:bidi="ar-SA"/>
        </w:rPr>
      </w:pPr>
      <w:r>
        <w:rPr>
          <w:sz w:val="18"/>
          <w:szCs w:val="18"/>
          <w:lang w:bidi="ar-SA"/>
        </w:rPr>
        <w:t>*B</w:t>
      </w:r>
      <w:r w:rsidR="003E4EEA">
        <w:rPr>
          <w:sz w:val="18"/>
          <w:szCs w:val="18"/>
          <w:lang w:bidi="ar-SA"/>
        </w:rPr>
        <w:t>oth supportive and unsupportive</w:t>
      </w:r>
      <w:r>
        <w:rPr>
          <w:sz w:val="18"/>
          <w:szCs w:val="18"/>
          <w:lang w:bidi="ar-SA"/>
        </w:rPr>
        <w:t xml:space="preserve"> submissions, as well as those </w:t>
      </w:r>
      <w:r w:rsidR="002E4164" w:rsidRPr="003E4EEA">
        <w:rPr>
          <w:sz w:val="18"/>
          <w:szCs w:val="18"/>
          <w:lang w:bidi="ar-SA"/>
        </w:rPr>
        <w:t>based on the ‘sample letter’ were included in</w:t>
      </w:r>
      <w:r w:rsidR="00B757EE" w:rsidRPr="003E4EEA">
        <w:rPr>
          <w:sz w:val="18"/>
          <w:szCs w:val="18"/>
          <w:lang w:bidi="ar-SA"/>
        </w:rPr>
        <w:t xml:space="preserve"> this compilation</w:t>
      </w:r>
      <w:r w:rsidR="003E4EEA" w:rsidRPr="003E4EEA">
        <w:rPr>
          <w:sz w:val="18"/>
          <w:szCs w:val="18"/>
          <w:lang w:bidi="ar-SA"/>
        </w:rPr>
        <w:t xml:space="preserve">. </w:t>
      </w:r>
      <w:r w:rsidR="00AF299F">
        <w:rPr>
          <w:sz w:val="18"/>
          <w:szCs w:val="18"/>
          <w:lang w:bidi="ar-SA"/>
        </w:rPr>
        <w:t xml:space="preserve">Submissions can </w:t>
      </w:r>
      <w:r w:rsidR="003434A8">
        <w:rPr>
          <w:sz w:val="18"/>
          <w:szCs w:val="18"/>
          <w:lang w:bidi="ar-SA"/>
        </w:rPr>
        <w:t>address</w:t>
      </w:r>
      <w:r w:rsidR="00AF299F">
        <w:rPr>
          <w:sz w:val="18"/>
          <w:szCs w:val="18"/>
          <w:lang w:bidi="ar-SA"/>
        </w:rPr>
        <w:t xml:space="preserve"> multiple themes.</w:t>
      </w:r>
    </w:p>
    <w:p w14:paraId="24FE6204" w14:textId="302B9DDC" w:rsidR="00607253" w:rsidRDefault="00607253" w:rsidP="003E4EEA">
      <w:pPr>
        <w:rPr>
          <w:sz w:val="18"/>
          <w:szCs w:val="18"/>
          <w:lang w:bidi="ar-SA"/>
        </w:rPr>
      </w:pPr>
      <w:r>
        <w:rPr>
          <w:sz w:val="18"/>
          <w:szCs w:val="18"/>
          <w:lang w:bidi="ar-SA"/>
        </w:rPr>
        <w:t>**These include</w:t>
      </w:r>
      <w:r w:rsidR="007664AB">
        <w:rPr>
          <w:sz w:val="18"/>
          <w:szCs w:val="18"/>
          <w:lang w:bidi="ar-SA"/>
        </w:rPr>
        <w:t xml:space="preserve"> Freshness/Quality, Horticultural industry, Harmonisation of regulations and trade, Scope of permissions, FSANZ process, Public opinion and legal. </w:t>
      </w:r>
    </w:p>
    <w:p w14:paraId="00D1643A" w14:textId="163C6177" w:rsidR="003434A8" w:rsidRPr="003434A8" w:rsidRDefault="003434A8" w:rsidP="003E4EEA">
      <w:pPr>
        <w:rPr>
          <w:sz w:val="18"/>
          <w:szCs w:val="18"/>
          <w:lang w:bidi="ar-SA"/>
        </w:rPr>
      </w:pPr>
      <w:r w:rsidRPr="003434A8">
        <w:rPr>
          <w:sz w:val="18"/>
          <w:szCs w:val="18"/>
          <w:vertAlign w:val="superscript"/>
          <w:lang w:bidi="ar-SA"/>
        </w:rPr>
        <w:t>#</w:t>
      </w:r>
      <w:r w:rsidR="008C78AA">
        <w:rPr>
          <w:sz w:val="18"/>
          <w:szCs w:val="18"/>
          <w:lang w:bidi="ar-SA"/>
        </w:rPr>
        <w:t>There were 329 s</w:t>
      </w:r>
      <w:r w:rsidRPr="003434A8">
        <w:rPr>
          <w:sz w:val="18"/>
          <w:szCs w:val="18"/>
          <w:lang w:bidi="ar-SA"/>
        </w:rPr>
        <w:t>ubmission</w:t>
      </w:r>
      <w:r w:rsidR="008C78AA">
        <w:rPr>
          <w:sz w:val="18"/>
          <w:szCs w:val="18"/>
          <w:lang w:bidi="ar-SA"/>
        </w:rPr>
        <w:t>s</w:t>
      </w:r>
      <w:r w:rsidRPr="003434A8">
        <w:rPr>
          <w:sz w:val="18"/>
          <w:szCs w:val="18"/>
          <w:lang w:bidi="ar-SA"/>
        </w:rPr>
        <w:t xml:space="preserve"> </w:t>
      </w:r>
      <w:r w:rsidR="005D0A5C">
        <w:rPr>
          <w:sz w:val="18"/>
          <w:szCs w:val="18"/>
          <w:lang w:bidi="ar-SA"/>
        </w:rPr>
        <w:t xml:space="preserve">that </w:t>
      </w:r>
      <w:r w:rsidR="005A14AC">
        <w:rPr>
          <w:sz w:val="18"/>
          <w:szCs w:val="18"/>
          <w:lang w:bidi="ar-SA"/>
        </w:rPr>
        <w:t>raised</w:t>
      </w:r>
      <w:r w:rsidRPr="003434A8">
        <w:rPr>
          <w:sz w:val="18"/>
          <w:szCs w:val="18"/>
          <w:lang w:bidi="ar-SA"/>
        </w:rPr>
        <w:t xml:space="preserve"> at least </w:t>
      </w:r>
      <w:r w:rsidR="007F05E9">
        <w:rPr>
          <w:sz w:val="18"/>
          <w:szCs w:val="18"/>
          <w:lang w:bidi="ar-SA"/>
        </w:rPr>
        <w:t xml:space="preserve">one </w:t>
      </w:r>
      <w:r w:rsidRPr="003434A8">
        <w:rPr>
          <w:sz w:val="18"/>
          <w:szCs w:val="18"/>
          <w:lang w:bidi="ar-SA"/>
        </w:rPr>
        <w:t xml:space="preserve">of the </w:t>
      </w:r>
      <w:r w:rsidR="005A14AC">
        <w:rPr>
          <w:sz w:val="18"/>
          <w:szCs w:val="18"/>
          <w:lang w:bidi="ar-SA"/>
        </w:rPr>
        <w:t>‘Other issues’</w:t>
      </w:r>
      <w:r w:rsidRPr="003434A8">
        <w:rPr>
          <w:sz w:val="18"/>
          <w:szCs w:val="18"/>
          <w:lang w:bidi="ar-SA"/>
        </w:rPr>
        <w:t>.</w:t>
      </w:r>
    </w:p>
    <w:p w14:paraId="09CBC8F2" w14:textId="58084A25" w:rsidR="007A53BF" w:rsidRPr="002C1A3B" w:rsidRDefault="007E6DD5" w:rsidP="007A53BF">
      <w:pPr>
        <w:pStyle w:val="Heading2"/>
      </w:pPr>
      <w:bookmarkStart w:id="110" w:name="_Toc65149694"/>
      <w:bookmarkStart w:id="111" w:name="_Toc65507078"/>
      <w:bookmarkStart w:id="112" w:name="_Toc65684143"/>
      <w:bookmarkStart w:id="113" w:name="_Toc71204370"/>
      <w:r>
        <w:t>2.2</w:t>
      </w:r>
      <w:r>
        <w:tab/>
      </w:r>
      <w:r w:rsidR="007A53BF" w:rsidRPr="002C1A3B">
        <w:t xml:space="preserve">Summary of issues raised </w:t>
      </w:r>
      <w:bookmarkEnd w:id="100"/>
      <w:r w:rsidR="007A53BF" w:rsidRPr="002C1A3B">
        <w:t>in submissions</w:t>
      </w:r>
      <w:bookmarkEnd w:id="101"/>
      <w:bookmarkEnd w:id="102"/>
      <w:bookmarkEnd w:id="110"/>
      <w:bookmarkEnd w:id="111"/>
      <w:bookmarkEnd w:id="112"/>
      <w:bookmarkEnd w:id="113"/>
    </w:p>
    <w:p w14:paraId="0263AD99" w14:textId="4CF88A4A" w:rsidR="007D05E2" w:rsidRPr="007D05E2" w:rsidRDefault="0028725D" w:rsidP="0028725D">
      <w:pPr>
        <w:rPr>
          <w:i/>
          <w:lang w:bidi="ar-SA"/>
        </w:rPr>
      </w:pPr>
      <w:r w:rsidRPr="00021B6D">
        <w:rPr>
          <w:lang w:bidi="ar-SA"/>
        </w:rPr>
        <w:t xml:space="preserve">Table </w:t>
      </w:r>
      <w:r w:rsidR="002D7635">
        <w:rPr>
          <w:lang w:bidi="ar-SA"/>
        </w:rPr>
        <w:t>3</w:t>
      </w:r>
      <w:r w:rsidRPr="00021B6D">
        <w:rPr>
          <w:lang w:bidi="ar-SA"/>
        </w:rPr>
        <w:t xml:space="preserve"> below provides a </w:t>
      </w:r>
      <w:r w:rsidR="00C80E88">
        <w:rPr>
          <w:lang w:bidi="ar-SA"/>
        </w:rPr>
        <w:t xml:space="preserve">high level </w:t>
      </w:r>
      <w:r w:rsidRPr="00021B6D">
        <w:rPr>
          <w:lang w:bidi="ar-SA"/>
        </w:rPr>
        <w:t xml:space="preserve">summary of </w:t>
      </w:r>
      <w:r w:rsidR="00C80E88">
        <w:rPr>
          <w:lang w:bidi="ar-SA"/>
        </w:rPr>
        <w:t xml:space="preserve">the submitters’ issues and </w:t>
      </w:r>
      <w:r w:rsidRPr="00021B6D">
        <w:rPr>
          <w:lang w:bidi="ar-SA"/>
        </w:rPr>
        <w:t xml:space="preserve">FSANZ’s responses to </w:t>
      </w:r>
      <w:r w:rsidR="00C80E88">
        <w:rPr>
          <w:lang w:bidi="ar-SA"/>
        </w:rPr>
        <w:t>these</w:t>
      </w:r>
      <w:r w:rsidRPr="00021B6D">
        <w:rPr>
          <w:lang w:bidi="ar-SA"/>
        </w:rPr>
        <w:t xml:space="preserve">. </w:t>
      </w:r>
      <w:r w:rsidR="007D05E2">
        <w:rPr>
          <w:lang w:bidi="ar-SA"/>
        </w:rPr>
        <w:br/>
      </w:r>
      <w:r w:rsidR="007D05E2">
        <w:rPr>
          <w:lang w:bidi="ar-SA"/>
        </w:rPr>
        <w:br/>
      </w:r>
      <w:r w:rsidR="007D05E2" w:rsidRPr="007D05E2">
        <w:rPr>
          <w:i/>
          <w:lang w:bidi="ar-SA"/>
        </w:rPr>
        <w:t xml:space="preserve">Supportive </w:t>
      </w:r>
    </w:p>
    <w:p w14:paraId="47A3A580" w14:textId="77777777" w:rsidR="007D05E2" w:rsidRDefault="007D05E2" w:rsidP="0028725D">
      <w:pPr>
        <w:rPr>
          <w:lang w:bidi="ar-SA"/>
        </w:rPr>
      </w:pPr>
    </w:p>
    <w:p w14:paraId="15E09B51" w14:textId="5CB5DB1C" w:rsidR="002C47B2" w:rsidRDefault="0028725D" w:rsidP="0028725D">
      <w:pPr>
        <w:rPr>
          <w:lang w:bidi="ar-SA"/>
        </w:rPr>
      </w:pPr>
      <w:r w:rsidRPr="00021B6D">
        <w:rPr>
          <w:lang w:bidi="ar-SA"/>
        </w:rPr>
        <w:t>Submitters in support of the draft variation indicated that</w:t>
      </w:r>
      <w:r w:rsidR="002C47B2">
        <w:rPr>
          <w:lang w:bidi="ar-SA"/>
        </w:rPr>
        <w:t>:</w:t>
      </w:r>
    </w:p>
    <w:p w14:paraId="63209F73" w14:textId="77777777" w:rsidR="002C47B2" w:rsidRDefault="002C47B2" w:rsidP="0028725D">
      <w:pPr>
        <w:rPr>
          <w:lang w:bidi="ar-SA"/>
        </w:rPr>
      </w:pPr>
    </w:p>
    <w:p w14:paraId="4C1D3082" w14:textId="56242A22" w:rsidR="002C47B2" w:rsidRDefault="002C47B2" w:rsidP="00E01B62">
      <w:pPr>
        <w:pStyle w:val="ListParagraph"/>
        <w:numPr>
          <w:ilvl w:val="0"/>
          <w:numId w:val="12"/>
        </w:numPr>
        <w:rPr>
          <w:lang w:bidi="ar-SA"/>
        </w:rPr>
      </w:pPr>
      <w:r>
        <w:rPr>
          <w:lang w:bidi="ar-SA"/>
        </w:rPr>
        <w:t>I</w:t>
      </w:r>
      <w:r w:rsidR="0028725D" w:rsidRPr="00021B6D">
        <w:rPr>
          <w:lang w:bidi="ar-SA"/>
        </w:rPr>
        <w:t xml:space="preserve">rradiation as a phytosanitary treatment is safe, effective and important for Australian and New Zealand biosecurity purposes. </w:t>
      </w:r>
    </w:p>
    <w:p w14:paraId="0B77E7AD" w14:textId="2F7267E7" w:rsidR="002C47B2" w:rsidRDefault="0028725D" w:rsidP="00E01B62">
      <w:pPr>
        <w:pStyle w:val="ListParagraph"/>
        <w:numPr>
          <w:ilvl w:val="0"/>
          <w:numId w:val="12"/>
        </w:numPr>
        <w:rPr>
          <w:lang w:bidi="ar-SA"/>
        </w:rPr>
      </w:pPr>
      <w:r w:rsidRPr="00021B6D">
        <w:rPr>
          <w:lang w:bidi="ar-SA"/>
        </w:rPr>
        <w:t xml:space="preserve">Permitting the irradiation of fruit and vegetables will bring Australia and New Zealand </w:t>
      </w:r>
      <w:r w:rsidR="00595DE6">
        <w:rPr>
          <w:lang w:bidi="ar-SA"/>
        </w:rPr>
        <w:t xml:space="preserve">more </w:t>
      </w:r>
      <w:r w:rsidRPr="00021B6D">
        <w:rPr>
          <w:lang w:bidi="ar-SA"/>
        </w:rPr>
        <w:t xml:space="preserve">into line with the legislative approach taken by countries that already trade in fresh fruit and vegetables irradiated for a phytosanitary purpose. </w:t>
      </w:r>
    </w:p>
    <w:p w14:paraId="3CF5B515" w14:textId="77777777" w:rsidR="002C47B2" w:rsidRPr="002C47B2" w:rsidRDefault="002C47B2" w:rsidP="00E01B62">
      <w:pPr>
        <w:pStyle w:val="ListParagraph"/>
        <w:numPr>
          <w:ilvl w:val="0"/>
          <w:numId w:val="12"/>
        </w:numPr>
        <w:rPr>
          <w:szCs w:val="22"/>
          <w:lang w:bidi="ar-SA"/>
        </w:rPr>
      </w:pPr>
      <w:r>
        <w:rPr>
          <w:lang w:bidi="ar-SA"/>
        </w:rPr>
        <w:t>I</w:t>
      </w:r>
      <w:r w:rsidR="0028725D" w:rsidRPr="00021B6D">
        <w:rPr>
          <w:lang w:bidi="ar-SA"/>
        </w:rPr>
        <w:t xml:space="preserve">rradiation as a phytosanitary treatment will create opportunities for the domestic industry to access a range of new international markets for trade. </w:t>
      </w:r>
    </w:p>
    <w:p w14:paraId="0274031B" w14:textId="77777777" w:rsidR="002C47B2" w:rsidRDefault="002C47B2" w:rsidP="002C47B2">
      <w:pPr>
        <w:rPr>
          <w:lang w:bidi="ar-SA"/>
        </w:rPr>
      </w:pPr>
    </w:p>
    <w:p w14:paraId="604BAE5D" w14:textId="3DE54649" w:rsidR="0028725D" w:rsidRPr="00021B6D" w:rsidRDefault="0028725D" w:rsidP="0028725D">
      <w:pPr>
        <w:rPr>
          <w:szCs w:val="22"/>
          <w:lang w:bidi="ar-SA"/>
        </w:rPr>
      </w:pPr>
      <w:r w:rsidRPr="00021B6D">
        <w:rPr>
          <w:lang w:bidi="ar-SA"/>
        </w:rPr>
        <w:t xml:space="preserve">Although supportive, submitters stressed </w:t>
      </w:r>
      <w:r w:rsidRPr="00021B6D">
        <w:rPr>
          <w:szCs w:val="22"/>
          <w:lang w:bidi="ar-SA"/>
        </w:rPr>
        <w:t xml:space="preserve">the importance of ensuring that existing labelling requirements remain and the need for close monitoring </w:t>
      </w:r>
      <w:r w:rsidR="007D05E2">
        <w:rPr>
          <w:szCs w:val="22"/>
          <w:lang w:bidi="ar-SA"/>
        </w:rPr>
        <w:t xml:space="preserve">by regulators </w:t>
      </w:r>
      <w:r w:rsidRPr="00021B6D">
        <w:rPr>
          <w:szCs w:val="22"/>
          <w:lang w:bidi="ar-SA"/>
        </w:rPr>
        <w:t>to ensure irradiation is not used for purposes other than pest disinfestation, such as to prolong shelf life</w:t>
      </w:r>
      <w:r w:rsidR="00C80E88">
        <w:rPr>
          <w:szCs w:val="22"/>
          <w:lang w:bidi="ar-SA"/>
        </w:rPr>
        <w:t>. S</w:t>
      </w:r>
      <w:r w:rsidR="00960937">
        <w:rPr>
          <w:szCs w:val="22"/>
          <w:lang w:bidi="ar-SA"/>
        </w:rPr>
        <w:t xml:space="preserve">ee </w:t>
      </w:r>
      <w:r w:rsidR="00AF38B0">
        <w:rPr>
          <w:szCs w:val="22"/>
          <w:lang w:bidi="ar-SA"/>
        </w:rPr>
        <w:fldChar w:fldCharType="begin"/>
      </w:r>
      <w:r w:rsidR="00AF38B0">
        <w:rPr>
          <w:szCs w:val="22"/>
          <w:lang w:bidi="ar-SA"/>
        </w:rPr>
        <w:instrText xml:space="preserve"> REF _Ref65681610 \h </w:instrText>
      </w:r>
      <w:r w:rsidR="00AF38B0">
        <w:rPr>
          <w:szCs w:val="22"/>
          <w:lang w:bidi="ar-SA"/>
        </w:rPr>
      </w:r>
      <w:r w:rsidR="00AF38B0">
        <w:rPr>
          <w:szCs w:val="22"/>
          <w:lang w:bidi="ar-SA"/>
        </w:rPr>
        <w:fldChar w:fldCharType="separate"/>
      </w:r>
      <w:r w:rsidR="00A67B9C">
        <w:t xml:space="preserve">Appendix </w:t>
      </w:r>
      <w:r w:rsidR="00A67B9C">
        <w:rPr>
          <w:noProof/>
        </w:rPr>
        <w:t>2</w:t>
      </w:r>
      <w:r w:rsidR="00AF38B0">
        <w:rPr>
          <w:szCs w:val="22"/>
          <w:lang w:bidi="ar-SA"/>
        </w:rPr>
        <w:fldChar w:fldCharType="end"/>
      </w:r>
      <w:r w:rsidR="00960937">
        <w:rPr>
          <w:szCs w:val="22"/>
          <w:lang w:bidi="ar-SA"/>
        </w:rPr>
        <w:t xml:space="preserve"> – FSANZ’s responses to submissions for more details</w:t>
      </w:r>
      <w:r w:rsidRPr="00021B6D">
        <w:rPr>
          <w:szCs w:val="22"/>
          <w:lang w:bidi="ar-SA"/>
        </w:rPr>
        <w:t>.</w:t>
      </w:r>
    </w:p>
    <w:p w14:paraId="526D20AB" w14:textId="77777777" w:rsidR="0028725D" w:rsidRPr="00021B6D" w:rsidRDefault="0028725D" w:rsidP="0028725D">
      <w:pPr>
        <w:rPr>
          <w:lang w:bidi="ar-SA"/>
        </w:rPr>
      </w:pPr>
    </w:p>
    <w:p w14:paraId="370FC4A9" w14:textId="77777777" w:rsidR="007D05E2" w:rsidRPr="007D05E2" w:rsidRDefault="007D05E2" w:rsidP="00960937">
      <w:pPr>
        <w:rPr>
          <w:i/>
          <w:lang w:bidi="ar-SA"/>
        </w:rPr>
      </w:pPr>
      <w:r w:rsidRPr="007D05E2">
        <w:rPr>
          <w:i/>
          <w:lang w:bidi="ar-SA"/>
        </w:rPr>
        <w:t>Unsupportive</w:t>
      </w:r>
    </w:p>
    <w:p w14:paraId="637358C3" w14:textId="77777777" w:rsidR="007D05E2" w:rsidRDefault="007D05E2" w:rsidP="00960937">
      <w:pPr>
        <w:rPr>
          <w:lang w:bidi="ar-SA"/>
        </w:rPr>
      </w:pPr>
    </w:p>
    <w:p w14:paraId="56A1A694" w14:textId="6C0DAB59" w:rsidR="002C47B2" w:rsidRDefault="0028725D" w:rsidP="00960937">
      <w:pPr>
        <w:rPr>
          <w:lang w:bidi="ar-SA"/>
        </w:rPr>
      </w:pPr>
      <w:r w:rsidRPr="00021B6D">
        <w:rPr>
          <w:lang w:bidi="ar-SA"/>
        </w:rPr>
        <w:t>In contrast, submitters opposed to irradiation raised concerns about</w:t>
      </w:r>
      <w:r w:rsidR="002C47B2">
        <w:rPr>
          <w:lang w:bidi="ar-SA"/>
        </w:rPr>
        <w:t>:</w:t>
      </w:r>
    </w:p>
    <w:p w14:paraId="24045A6C" w14:textId="77777777" w:rsidR="007D6B90" w:rsidRDefault="007D6B90" w:rsidP="00960937">
      <w:pPr>
        <w:rPr>
          <w:lang w:bidi="ar-SA"/>
        </w:rPr>
      </w:pPr>
    </w:p>
    <w:p w14:paraId="2B158047" w14:textId="5D5D065C" w:rsidR="002C47B2" w:rsidRDefault="0028725D" w:rsidP="00E01B62">
      <w:pPr>
        <w:pStyle w:val="ListParagraph"/>
        <w:numPr>
          <w:ilvl w:val="0"/>
          <w:numId w:val="13"/>
        </w:numPr>
        <w:rPr>
          <w:lang w:bidi="ar-SA"/>
        </w:rPr>
      </w:pPr>
      <w:r w:rsidRPr="00021B6D">
        <w:rPr>
          <w:lang w:bidi="ar-SA"/>
        </w:rPr>
        <w:t>the technological need to irradiate foods</w:t>
      </w:r>
    </w:p>
    <w:p w14:paraId="065AE2EE" w14:textId="54C9CF89" w:rsidR="002C47B2" w:rsidRDefault="0028725D" w:rsidP="00E01B62">
      <w:pPr>
        <w:pStyle w:val="ListParagraph"/>
        <w:numPr>
          <w:ilvl w:val="0"/>
          <w:numId w:val="13"/>
        </w:numPr>
        <w:rPr>
          <w:lang w:bidi="ar-SA"/>
        </w:rPr>
      </w:pPr>
      <w:r w:rsidRPr="00021B6D">
        <w:rPr>
          <w:lang w:bidi="ar-SA"/>
        </w:rPr>
        <w:t>the safety and nutritional quality of irradiated foods</w:t>
      </w:r>
    </w:p>
    <w:p w14:paraId="77C71373" w14:textId="6F71CDFE" w:rsidR="002C47B2" w:rsidRDefault="0028725D" w:rsidP="00E01B62">
      <w:pPr>
        <w:pStyle w:val="ListParagraph"/>
        <w:numPr>
          <w:ilvl w:val="0"/>
          <w:numId w:val="13"/>
        </w:numPr>
        <w:rPr>
          <w:lang w:bidi="ar-SA"/>
        </w:rPr>
      </w:pPr>
      <w:r w:rsidRPr="00021B6D">
        <w:rPr>
          <w:lang w:bidi="ar-SA"/>
        </w:rPr>
        <w:t>inadequate/poorly enforced labelling of irradiated foods</w:t>
      </w:r>
    </w:p>
    <w:p w14:paraId="498797A2" w14:textId="77777777" w:rsidR="002C47B2" w:rsidRDefault="0028725D" w:rsidP="00E01B62">
      <w:pPr>
        <w:pStyle w:val="ListParagraph"/>
        <w:numPr>
          <w:ilvl w:val="0"/>
          <w:numId w:val="13"/>
        </w:numPr>
        <w:rPr>
          <w:lang w:bidi="ar-SA"/>
        </w:rPr>
      </w:pPr>
      <w:r w:rsidRPr="00021B6D">
        <w:rPr>
          <w:lang w:bidi="ar-SA"/>
        </w:rPr>
        <w:t xml:space="preserve">other issues, some of which </w:t>
      </w:r>
      <w:r w:rsidR="00C80E88">
        <w:rPr>
          <w:lang w:bidi="ar-SA"/>
        </w:rPr>
        <w:t>are</w:t>
      </w:r>
      <w:r w:rsidRPr="00021B6D">
        <w:rPr>
          <w:lang w:bidi="ar-SA"/>
        </w:rPr>
        <w:t xml:space="preserve"> outside of FSANZ’s remit. </w:t>
      </w:r>
    </w:p>
    <w:p w14:paraId="0F6731B4" w14:textId="77777777" w:rsidR="002C47B2" w:rsidRDefault="002C47B2" w:rsidP="00960937">
      <w:pPr>
        <w:rPr>
          <w:lang w:bidi="ar-SA"/>
        </w:rPr>
      </w:pPr>
    </w:p>
    <w:p w14:paraId="4F493815" w14:textId="20F0972B" w:rsidR="00960937" w:rsidRDefault="007D05E2" w:rsidP="00960937">
      <w:pPr>
        <w:rPr>
          <w:lang w:bidi="ar-SA"/>
        </w:rPr>
      </w:pPr>
      <w:r>
        <w:rPr>
          <w:lang w:bidi="ar-SA"/>
        </w:rPr>
        <w:t>For the purposes of providing this report, t</w:t>
      </w:r>
      <w:r w:rsidR="00960937">
        <w:rPr>
          <w:lang w:bidi="ar-SA"/>
        </w:rPr>
        <w:t xml:space="preserve">hese issues have been summarised in Table </w:t>
      </w:r>
      <w:r w:rsidR="002D7635">
        <w:rPr>
          <w:lang w:bidi="ar-SA"/>
        </w:rPr>
        <w:t>3</w:t>
      </w:r>
      <w:r w:rsidR="00960937">
        <w:rPr>
          <w:lang w:bidi="ar-SA"/>
        </w:rPr>
        <w:t xml:space="preserve"> below, and further details are provided in </w:t>
      </w:r>
      <w:r w:rsidR="00AF38B0">
        <w:rPr>
          <w:lang w:bidi="ar-SA"/>
        </w:rPr>
        <w:fldChar w:fldCharType="begin"/>
      </w:r>
      <w:r w:rsidR="00AF38B0">
        <w:rPr>
          <w:lang w:bidi="ar-SA"/>
        </w:rPr>
        <w:instrText xml:space="preserve"> REF _Ref65681610 \h </w:instrText>
      </w:r>
      <w:r w:rsidR="00AF38B0">
        <w:rPr>
          <w:lang w:bidi="ar-SA"/>
        </w:rPr>
      </w:r>
      <w:r w:rsidR="00AF38B0">
        <w:rPr>
          <w:lang w:bidi="ar-SA"/>
        </w:rPr>
        <w:fldChar w:fldCharType="separate"/>
      </w:r>
      <w:r w:rsidR="00A67B9C">
        <w:t xml:space="preserve">Appendix </w:t>
      </w:r>
      <w:r w:rsidR="00A67B9C">
        <w:rPr>
          <w:noProof/>
        </w:rPr>
        <w:t>2</w:t>
      </w:r>
      <w:r w:rsidR="00AF38B0">
        <w:rPr>
          <w:lang w:bidi="ar-SA"/>
        </w:rPr>
        <w:fldChar w:fldCharType="end"/>
      </w:r>
      <w:r w:rsidR="00960937">
        <w:rPr>
          <w:lang w:bidi="ar-SA"/>
        </w:rPr>
        <w:t xml:space="preserve"> and </w:t>
      </w:r>
      <w:r w:rsidR="00AF38B0">
        <w:rPr>
          <w:lang w:bidi="ar-SA"/>
        </w:rPr>
        <w:fldChar w:fldCharType="begin"/>
      </w:r>
      <w:r w:rsidR="00AF38B0">
        <w:rPr>
          <w:lang w:bidi="ar-SA"/>
        </w:rPr>
        <w:instrText xml:space="preserve"> REF _Ref65681659 \h </w:instrText>
      </w:r>
      <w:r w:rsidR="00AF38B0">
        <w:rPr>
          <w:lang w:bidi="ar-SA"/>
        </w:rPr>
      </w:r>
      <w:r w:rsidR="00AF38B0">
        <w:rPr>
          <w:lang w:bidi="ar-SA"/>
        </w:rPr>
        <w:fldChar w:fldCharType="separate"/>
      </w:r>
      <w:r w:rsidR="00A67B9C">
        <w:t xml:space="preserve">Appendix </w:t>
      </w:r>
      <w:r w:rsidR="00A67B9C">
        <w:rPr>
          <w:noProof/>
        </w:rPr>
        <w:t>3</w:t>
      </w:r>
      <w:r w:rsidR="00AF38B0">
        <w:rPr>
          <w:lang w:bidi="ar-SA"/>
        </w:rPr>
        <w:fldChar w:fldCharType="end"/>
      </w:r>
      <w:r w:rsidR="00C80E88">
        <w:rPr>
          <w:lang w:bidi="ar-SA"/>
        </w:rPr>
        <w:t>.</w:t>
      </w:r>
      <w:r w:rsidR="00960937">
        <w:rPr>
          <w:lang w:bidi="ar-SA"/>
        </w:rPr>
        <w:t xml:space="preserve"> </w:t>
      </w:r>
      <w:r w:rsidR="00AF38B0">
        <w:rPr>
          <w:lang w:bidi="ar-SA"/>
        </w:rPr>
        <w:fldChar w:fldCharType="begin"/>
      </w:r>
      <w:r w:rsidR="00AF38B0">
        <w:rPr>
          <w:lang w:bidi="ar-SA"/>
        </w:rPr>
        <w:instrText xml:space="preserve"> REF _Ref65681659 \h </w:instrText>
      </w:r>
      <w:r w:rsidR="00AF38B0">
        <w:rPr>
          <w:lang w:bidi="ar-SA"/>
        </w:rPr>
      </w:r>
      <w:r w:rsidR="00AF38B0">
        <w:rPr>
          <w:lang w:bidi="ar-SA"/>
        </w:rPr>
        <w:fldChar w:fldCharType="separate"/>
      </w:r>
      <w:r w:rsidR="00A67B9C">
        <w:t xml:space="preserve">Appendix </w:t>
      </w:r>
      <w:r w:rsidR="00A67B9C">
        <w:rPr>
          <w:noProof/>
        </w:rPr>
        <w:t>3</w:t>
      </w:r>
      <w:r w:rsidR="00AF38B0">
        <w:rPr>
          <w:lang w:bidi="ar-SA"/>
        </w:rPr>
        <w:fldChar w:fldCharType="end"/>
      </w:r>
      <w:r w:rsidR="00960937">
        <w:rPr>
          <w:lang w:bidi="ar-SA"/>
        </w:rPr>
        <w:t xml:space="preserve"> contains </w:t>
      </w:r>
      <w:r w:rsidR="00C80E88">
        <w:rPr>
          <w:lang w:bidi="ar-SA"/>
        </w:rPr>
        <w:t>a</w:t>
      </w:r>
      <w:r w:rsidR="00960937">
        <w:rPr>
          <w:lang w:bidi="ar-SA"/>
        </w:rPr>
        <w:t xml:space="preserve"> </w:t>
      </w:r>
      <w:r w:rsidR="00C80E88">
        <w:rPr>
          <w:lang w:bidi="ar-SA"/>
        </w:rPr>
        <w:t>point by point rebuttal of</w:t>
      </w:r>
      <w:r w:rsidR="00960937">
        <w:rPr>
          <w:lang w:bidi="ar-SA"/>
        </w:rPr>
        <w:t xml:space="preserve"> specific issues raised in the ‘sample letter’. In addition, </w:t>
      </w:r>
      <w:r w:rsidR="00C80E88">
        <w:rPr>
          <w:lang w:bidi="ar-SA"/>
        </w:rPr>
        <w:t>this appendix</w:t>
      </w:r>
      <w:r w:rsidR="00960937">
        <w:rPr>
          <w:lang w:bidi="ar-SA"/>
        </w:rPr>
        <w:t xml:space="preserve"> contains FSANZ’s responses to issues </w:t>
      </w:r>
      <w:r w:rsidR="008A7A4E">
        <w:rPr>
          <w:lang w:bidi="ar-SA"/>
        </w:rPr>
        <w:t xml:space="preserve">raised by </w:t>
      </w:r>
      <w:r w:rsidR="00960937">
        <w:rPr>
          <w:lang w:bidi="ar-SA"/>
        </w:rPr>
        <w:t xml:space="preserve">Friends of the Earth </w:t>
      </w:r>
      <w:r w:rsidR="008A7A4E">
        <w:rPr>
          <w:lang w:bidi="ar-SA"/>
        </w:rPr>
        <w:t xml:space="preserve">on the following </w:t>
      </w:r>
      <w:r w:rsidR="00960937">
        <w:rPr>
          <w:lang w:bidi="ar-SA"/>
        </w:rPr>
        <w:t>pages</w:t>
      </w:r>
      <w:r w:rsidR="008A7A4E">
        <w:rPr>
          <w:lang w:bidi="ar-SA"/>
        </w:rPr>
        <w:t xml:space="preserve"> of their website</w:t>
      </w:r>
      <w:r w:rsidR="00960937">
        <w:rPr>
          <w:lang w:bidi="ar-SA"/>
        </w:rPr>
        <w:t>:</w:t>
      </w:r>
    </w:p>
    <w:p w14:paraId="46F95465" w14:textId="77777777" w:rsidR="00960937" w:rsidRDefault="00960937" w:rsidP="00960937">
      <w:pPr>
        <w:rPr>
          <w:lang w:bidi="ar-SA"/>
        </w:rPr>
      </w:pPr>
    </w:p>
    <w:p w14:paraId="66278D91" w14:textId="77777777" w:rsidR="00960937" w:rsidRDefault="00960937" w:rsidP="00960937">
      <w:pPr>
        <w:rPr>
          <w:lang w:bidi="ar-SA"/>
        </w:rPr>
      </w:pPr>
      <w:r>
        <w:rPr>
          <w:lang w:bidi="ar-SA"/>
        </w:rPr>
        <w:t>1.</w:t>
      </w:r>
      <w:r>
        <w:rPr>
          <w:lang w:bidi="ar-SA"/>
        </w:rPr>
        <w:tab/>
        <w:t>Brief overview of food irradiation in Australia and New Zealand</w:t>
      </w:r>
    </w:p>
    <w:p w14:paraId="166EDC94" w14:textId="11577DA3" w:rsidR="00960937" w:rsidRDefault="00DC604B" w:rsidP="00960937">
      <w:pPr>
        <w:ind w:firstLine="567"/>
        <w:rPr>
          <w:lang w:bidi="ar-SA"/>
        </w:rPr>
      </w:pPr>
      <w:hyperlink r:id="rId24" w:history="1">
        <w:r w:rsidR="00960937" w:rsidRPr="00A32E59">
          <w:rPr>
            <w:rStyle w:val="Hyperlink"/>
            <w:rFonts w:cs="Arial"/>
            <w:szCs w:val="22"/>
            <w:lang w:bidi="ar-SA"/>
          </w:rPr>
          <w:t>https://www.foe.org.au/queensland_irradiation</w:t>
        </w:r>
      </w:hyperlink>
      <w:r w:rsidR="00960937">
        <w:rPr>
          <w:lang w:bidi="ar-SA"/>
        </w:rPr>
        <w:t xml:space="preserve"> </w:t>
      </w:r>
    </w:p>
    <w:p w14:paraId="3610D8A2" w14:textId="77777777" w:rsidR="00960937" w:rsidRDefault="00960937" w:rsidP="00960937">
      <w:pPr>
        <w:rPr>
          <w:lang w:bidi="ar-SA"/>
        </w:rPr>
      </w:pPr>
    </w:p>
    <w:p w14:paraId="6D2CE871" w14:textId="77777777" w:rsidR="00960937" w:rsidRPr="00A32E59" w:rsidRDefault="00960937" w:rsidP="00960937">
      <w:pPr>
        <w:rPr>
          <w:rFonts w:cs="Arial"/>
          <w:szCs w:val="22"/>
          <w:lang w:bidi="ar-SA"/>
        </w:rPr>
      </w:pPr>
      <w:r>
        <w:rPr>
          <w:lang w:bidi="ar-SA"/>
        </w:rPr>
        <w:t>2.</w:t>
      </w:r>
      <w:r>
        <w:rPr>
          <w:lang w:bidi="ar-SA"/>
        </w:rPr>
        <w:tab/>
      </w:r>
      <w:r w:rsidRPr="00A32E59">
        <w:rPr>
          <w:rFonts w:cs="Arial"/>
          <w:szCs w:val="22"/>
          <w:lang w:bidi="ar-SA"/>
        </w:rPr>
        <w:t>Food Irradiation A1193 FAQ</w:t>
      </w:r>
    </w:p>
    <w:p w14:paraId="440A651F" w14:textId="70144BEF" w:rsidR="00960937" w:rsidRPr="00A32E59" w:rsidRDefault="00DC604B" w:rsidP="00960937">
      <w:pPr>
        <w:ind w:firstLine="567"/>
        <w:rPr>
          <w:rFonts w:cs="Arial"/>
          <w:szCs w:val="22"/>
          <w:lang w:bidi="ar-SA"/>
        </w:rPr>
      </w:pPr>
      <w:hyperlink r:id="rId25" w:history="1">
        <w:r w:rsidR="00960937" w:rsidRPr="00233CE2">
          <w:rPr>
            <w:rStyle w:val="Hyperlink"/>
            <w:rFonts w:cs="Arial"/>
            <w:szCs w:val="22"/>
            <w:lang w:bidi="ar-SA"/>
          </w:rPr>
          <w:t>https://www.foe.org.au/_a1193_faq</w:t>
        </w:r>
      </w:hyperlink>
      <w:r w:rsidR="00960937">
        <w:rPr>
          <w:lang w:bidi="ar-SA"/>
        </w:rPr>
        <w:t>.</w:t>
      </w:r>
      <w:r w:rsidR="00960937">
        <w:rPr>
          <w:rFonts w:cs="Arial"/>
          <w:szCs w:val="22"/>
          <w:lang w:bidi="ar-SA"/>
        </w:rPr>
        <w:t xml:space="preserve"> </w:t>
      </w:r>
    </w:p>
    <w:p w14:paraId="5D73B942" w14:textId="77777777" w:rsidR="00960937" w:rsidRDefault="00960937" w:rsidP="0028725D">
      <w:pPr>
        <w:rPr>
          <w:lang w:bidi="ar-SA"/>
        </w:rPr>
      </w:pPr>
    </w:p>
    <w:p w14:paraId="1D090310" w14:textId="7C9B1018" w:rsidR="0028725D" w:rsidRPr="00021B6D" w:rsidRDefault="0028725D" w:rsidP="0028725D">
      <w:pPr>
        <w:rPr>
          <w:lang w:bidi="ar-SA"/>
        </w:rPr>
      </w:pPr>
      <w:r w:rsidRPr="00021B6D">
        <w:rPr>
          <w:lang w:bidi="ar-SA"/>
        </w:rPr>
        <w:t>One joint submission from Food Irradiation Watch/Gene Ethics contained a separate attachment of 53 questions relating to various aspects of the application</w:t>
      </w:r>
      <w:r w:rsidR="005100C6">
        <w:rPr>
          <w:lang w:bidi="ar-SA"/>
        </w:rPr>
        <w:t xml:space="preserve"> itself,</w:t>
      </w:r>
      <w:r w:rsidRPr="00021B6D">
        <w:rPr>
          <w:lang w:bidi="ar-SA"/>
        </w:rPr>
        <w:t xml:space="preserve"> and a further 11 questions relating to </w:t>
      </w:r>
      <w:r w:rsidR="005D0A5C">
        <w:rPr>
          <w:lang w:bidi="ar-SA"/>
        </w:rPr>
        <w:t xml:space="preserve">Supporting </w:t>
      </w:r>
      <w:r w:rsidR="0084604C">
        <w:rPr>
          <w:lang w:bidi="ar-SA"/>
        </w:rPr>
        <w:t>D</w:t>
      </w:r>
      <w:r w:rsidR="005D0A5C">
        <w:rPr>
          <w:lang w:bidi="ar-SA"/>
        </w:rPr>
        <w:t>ocument 1 (</w:t>
      </w:r>
      <w:r w:rsidRPr="00021B6D">
        <w:rPr>
          <w:lang w:bidi="ar-SA"/>
        </w:rPr>
        <w:t>SD1</w:t>
      </w:r>
      <w:r w:rsidR="005D0A5C">
        <w:rPr>
          <w:lang w:bidi="ar-SA"/>
        </w:rPr>
        <w:t>)</w:t>
      </w:r>
      <w:r w:rsidRPr="00021B6D">
        <w:rPr>
          <w:lang w:bidi="ar-SA"/>
        </w:rPr>
        <w:t xml:space="preserve"> of the CFS report. The responses provided in Table </w:t>
      </w:r>
      <w:r w:rsidR="002D7635">
        <w:rPr>
          <w:lang w:bidi="ar-SA"/>
        </w:rPr>
        <w:t>3</w:t>
      </w:r>
      <w:r w:rsidRPr="00021B6D">
        <w:rPr>
          <w:lang w:bidi="ar-SA"/>
        </w:rPr>
        <w:t xml:space="preserve"> </w:t>
      </w:r>
      <w:r w:rsidR="004977CC">
        <w:rPr>
          <w:lang w:bidi="ar-SA"/>
        </w:rPr>
        <w:t xml:space="preserve">address </w:t>
      </w:r>
      <w:r w:rsidR="002D7635">
        <w:rPr>
          <w:lang w:bidi="ar-SA"/>
        </w:rPr>
        <w:t xml:space="preserve">the </w:t>
      </w:r>
      <w:r w:rsidR="00C80E88">
        <w:rPr>
          <w:lang w:bidi="ar-SA"/>
        </w:rPr>
        <w:t xml:space="preserve">core </w:t>
      </w:r>
      <w:r w:rsidR="002D7635">
        <w:rPr>
          <w:lang w:bidi="ar-SA"/>
        </w:rPr>
        <w:t>issues</w:t>
      </w:r>
      <w:r w:rsidR="00C80E88">
        <w:rPr>
          <w:lang w:bidi="ar-SA"/>
        </w:rPr>
        <w:t xml:space="preserve"> contained in </w:t>
      </w:r>
      <w:r w:rsidRPr="00021B6D">
        <w:rPr>
          <w:lang w:bidi="ar-SA"/>
        </w:rPr>
        <w:t xml:space="preserve">these questions, </w:t>
      </w:r>
      <w:r w:rsidR="00B877F6">
        <w:rPr>
          <w:lang w:bidi="ar-SA"/>
        </w:rPr>
        <w:t xml:space="preserve">and more details are provided in </w:t>
      </w:r>
      <w:r w:rsidR="00AF38B0">
        <w:rPr>
          <w:lang w:bidi="ar-SA"/>
        </w:rPr>
        <w:fldChar w:fldCharType="begin"/>
      </w:r>
      <w:r w:rsidR="00AF38B0">
        <w:rPr>
          <w:lang w:bidi="ar-SA"/>
        </w:rPr>
        <w:instrText xml:space="preserve"> REF _Ref65681694 \h </w:instrText>
      </w:r>
      <w:r w:rsidR="00AF38B0">
        <w:rPr>
          <w:lang w:bidi="ar-SA"/>
        </w:rPr>
      </w:r>
      <w:r w:rsidR="00AF38B0">
        <w:rPr>
          <w:lang w:bidi="ar-SA"/>
        </w:rPr>
        <w:fldChar w:fldCharType="separate"/>
      </w:r>
      <w:r w:rsidR="00A67B9C" w:rsidRPr="0080668C">
        <w:t xml:space="preserve">Appendix </w:t>
      </w:r>
      <w:r w:rsidR="00A67B9C">
        <w:rPr>
          <w:noProof/>
        </w:rPr>
        <w:t>4</w:t>
      </w:r>
      <w:r w:rsidR="00AF38B0">
        <w:rPr>
          <w:lang w:bidi="ar-SA"/>
        </w:rPr>
        <w:fldChar w:fldCharType="end"/>
      </w:r>
      <w:r w:rsidRPr="00021B6D">
        <w:rPr>
          <w:lang w:bidi="ar-SA"/>
        </w:rPr>
        <w:t xml:space="preserve">. </w:t>
      </w:r>
    </w:p>
    <w:p w14:paraId="7DC7487D" w14:textId="77777777" w:rsidR="0028725D" w:rsidRPr="00021B6D" w:rsidRDefault="0028725D" w:rsidP="0028725D">
      <w:pPr>
        <w:rPr>
          <w:lang w:bidi="ar-SA"/>
        </w:rPr>
      </w:pPr>
    </w:p>
    <w:p w14:paraId="6134CEC8" w14:textId="74D90ACF" w:rsidR="0028725D" w:rsidRPr="00021B6D" w:rsidRDefault="0028725D" w:rsidP="0028725D">
      <w:pPr>
        <w:rPr>
          <w:lang w:bidi="ar-SA"/>
        </w:rPr>
      </w:pPr>
      <w:r w:rsidRPr="00021B6D">
        <w:rPr>
          <w:lang w:bidi="ar-SA"/>
        </w:rPr>
        <w:t>FSANZ notes that many of the issues raised in submissions for A1193 have been raised in submissions and campaign letters for previous irradiation applications.</w:t>
      </w:r>
      <w:r w:rsidRPr="00021B6D">
        <w:rPr>
          <w:rFonts w:cs="Arial"/>
          <w:szCs w:val="22"/>
          <w:lang w:bidi="ar-SA"/>
        </w:rPr>
        <w:t xml:space="preserve"> This is particularly </w:t>
      </w:r>
      <w:r w:rsidR="004977CC">
        <w:rPr>
          <w:rFonts w:cs="Arial"/>
          <w:szCs w:val="22"/>
          <w:lang w:bidi="ar-SA"/>
        </w:rPr>
        <w:t xml:space="preserve">applicable </w:t>
      </w:r>
      <w:r w:rsidRPr="00021B6D">
        <w:rPr>
          <w:rFonts w:cs="Arial"/>
          <w:szCs w:val="22"/>
          <w:lang w:bidi="ar-SA"/>
        </w:rPr>
        <w:t xml:space="preserve">to safety, labelling and technological purpose, where no new </w:t>
      </w:r>
      <w:r w:rsidRPr="00021B6D">
        <w:rPr>
          <w:lang w:bidi="ar-SA"/>
        </w:rPr>
        <w:t>evidence or material has emerged since the last irradiation application</w:t>
      </w:r>
      <w:r w:rsidR="008F40FE">
        <w:rPr>
          <w:lang w:bidi="ar-SA"/>
        </w:rPr>
        <w:t xml:space="preserve"> in 2016</w:t>
      </w:r>
      <w:r w:rsidRPr="00021B6D">
        <w:rPr>
          <w:lang w:bidi="ar-SA"/>
        </w:rPr>
        <w:t xml:space="preserve">. </w:t>
      </w:r>
      <w:r w:rsidR="004977CC">
        <w:rPr>
          <w:lang w:bidi="ar-SA"/>
        </w:rPr>
        <w:t>Nevertheless</w:t>
      </w:r>
      <w:r w:rsidRPr="00021B6D">
        <w:rPr>
          <w:lang w:bidi="ar-SA"/>
        </w:rPr>
        <w:t>, FSANZ has reviewed these issues as part of A1193, and respon</w:t>
      </w:r>
      <w:r w:rsidR="00EC5DA7">
        <w:rPr>
          <w:lang w:bidi="ar-SA"/>
        </w:rPr>
        <w:t>ded</w:t>
      </w:r>
      <w:r w:rsidRPr="00021B6D">
        <w:rPr>
          <w:lang w:bidi="ar-SA"/>
        </w:rPr>
        <w:t xml:space="preserve"> </w:t>
      </w:r>
      <w:r w:rsidR="00C80E88">
        <w:rPr>
          <w:lang w:bidi="ar-SA"/>
        </w:rPr>
        <w:t xml:space="preserve">in Table 3 and Appendices 2-4, </w:t>
      </w:r>
      <w:r w:rsidR="00960937">
        <w:rPr>
          <w:lang w:bidi="ar-SA"/>
        </w:rPr>
        <w:t>accordingly</w:t>
      </w:r>
      <w:r w:rsidRPr="00021B6D">
        <w:rPr>
          <w:lang w:bidi="ar-SA"/>
        </w:rPr>
        <w:t>.</w:t>
      </w:r>
    </w:p>
    <w:p w14:paraId="41EDB3BC" w14:textId="77777777" w:rsidR="0028725D" w:rsidRPr="00021B6D" w:rsidRDefault="0028725D" w:rsidP="0028725D">
      <w:pPr>
        <w:rPr>
          <w:lang w:bidi="ar-SA"/>
        </w:rPr>
      </w:pPr>
    </w:p>
    <w:p w14:paraId="42C5338E" w14:textId="2FE23B5F" w:rsidR="005603A0" w:rsidRDefault="0028725D" w:rsidP="0028725D">
      <w:pPr>
        <w:rPr>
          <w:lang w:bidi="ar-SA"/>
        </w:rPr>
        <w:sectPr w:rsidR="005603A0" w:rsidSect="002E4164">
          <w:pgSz w:w="11906" w:h="16838" w:code="9"/>
          <w:pgMar w:top="1418" w:right="1418" w:bottom="1418" w:left="1418" w:header="709" w:footer="709" w:gutter="0"/>
          <w:cols w:space="708"/>
          <w:docGrid w:linePitch="360"/>
        </w:sectPr>
      </w:pPr>
      <w:r w:rsidRPr="00021B6D">
        <w:rPr>
          <w:lang w:bidi="ar-SA"/>
        </w:rPr>
        <w:t>As a result of additional work</w:t>
      </w:r>
      <w:r w:rsidRPr="00021B6D" w:rsidDel="00EC5DA7">
        <w:rPr>
          <w:lang w:bidi="ar-SA"/>
        </w:rPr>
        <w:t xml:space="preserve"> </w:t>
      </w:r>
      <w:r w:rsidRPr="00021B6D">
        <w:rPr>
          <w:lang w:bidi="ar-SA"/>
        </w:rPr>
        <w:t>to address concerns raised in submissions, a number of sections in SD1 have been amended to include further details, particularly Section</w:t>
      </w:r>
      <w:r w:rsidR="00704AAD">
        <w:rPr>
          <w:lang w:bidi="ar-SA"/>
        </w:rPr>
        <w:t> </w:t>
      </w:r>
      <w:r w:rsidRPr="00021B6D">
        <w:rPr>
          <w:lang w:bidi="ar-SA"/>
        </w:rPr>
        <w:t xml:space="preserve">2 (Technological need and quarantine requirements) and Section 5 (Dietary intake assessment). Section 5 includes a new section that evaluates the coverage of the nutrient impact data compiled in the nutrition risk assessment against </w:t>
      </w:r>
      <w:r w:rsidR="00704AAD">
        <w:rPr>
          <w:lang w:bidi="ar-SA"/>
        </w:rPr>
        <w:t>commonly consumed</w:t>
      </w:r>
      <w:r w:rsidR="00704AAD" w:rsidRPr="00021B6D">
        <w:rPr>
          <w:lang w:bidi="ar-SA"/>
        </w:rPr>
        <w:t xml:space="preserve"> </w:t>
      </w:r>
      <w:r w:rsidRPr="00021B6D">
        <w:rPr>
          <w:lang w:bidi="ar-SA"/>
        </w:rPr>
        <w:t xml:space="preserve">commodities and </w:t>
      </w:r>
      <w:r w:rsidR="00876EE0">
        <w:rPr>
          <w:lang w:bidi="ar-SA"/>
        </w:rPr>
        <w:t xml:space="preserve">contributions to </w:t>
      </w:r>
      <w:r w:rsidRPr="00021B6D">
        <w:rPr>
          <w:lang w:bidi="ar-SA"/>
        </w:rPr>
        <w:t>nutrient intakes</w:t>
      </w:r>
      <w:r w:rsidR="004977CC">
        <w:rPr>
          <w:lang w:bidi="ar-SA"/>
        </w:rPr>
        <w:t>. This section</w:t>
      </w:r>
      <w:r w:rsidRPr="00021B6D" w:rsidDel="004977CC">
        <w:rPr>
          <w:lang w:bidi="ar-SA"/>
        </w:rPr>
        <w:t xml:space="preserve"> </w:t>
      </w:r>
      <w:r w:rsidRPr="00021B6D">
        <w:rPr>
          <w:lang w:bidi="ar-SA"/>
        </w:rPr>
        <w:t>provides further support for the risk assessment conclusions.</w:t>
      </w:r>
      <w:r w:rsidR="003434A8">
        <w:rPr>
          <w:lang w:bidi="ar-SA"/>
        </w:rPr>
        <w:t xml:space="preserve"> See Table 3 and/or Appendices 2-4 for details.</w:t>
      </w:r>
    </w:p>
    <w:p w14:paraId="62195EB2" w14:textId="08FA9098" w:rsidR="00B46DEE" w:rsidRPr="00B46DEE" w:rsidRDefault="009F23FB" w:rsidP="00B46DEE">
      <w:pPr>
        <w:pStyle w:val="FSTableHeading"/>
        <w:keepNext/>
        <w:keepLines/>
        <w:jc w:val="left"/>
        <w:rPr>
          <w:b w:val="0"/>
        </w:rPr>
      </w:pPr>
      <w:r>
        <w:lastRenderedPageBreak/>
        <w:t>Table 3</w:t>
      </w:r>
      <w:r w:rsidRPr="00722627">
        <w:t>:</w:t>
      </w:r>
      <w:r>
        <w:t xml:space="preserve"> Summary of </w:t>
      </w:r>
      <w:r w:rsidR="00704AAD">
        <w:t>key</w:t>
      </w:r>
      <w:r>
        <w:t xml:space="preserve"> issues</w:t>
      </w:r>
      <w:r w:rsidR="00704AAD">
        <w:t xml:space="preserve"> raised in submissions</w:t>
      </w:r>
    </w:p>
    <w:tbl>
      <w:tblPr>
        <w:tblStyle w:val="MediumShading1-Accent31"/>
        <w:tblW w:w="1374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71"/>
        <w:gridCol w:w="4654"/>
        <w:gridCol w:w="2096"/>
        <w:gridCol w:w="6427"/>
      </w:tblGrid>
      <w:tr w:rsidR="00F6228C" w:rsidRPr="006F7214" w14:paraId="55557251" w14:textId="77777777" w:rsidTr="008C78AA">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57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49A417E" w14:textId="77777777" w:rsidR="009F23FB" w:rsidRPr="006F7214" w:rsidRDefault="009F23FB" w:rsidP="005A14AC">
            <w:pPr>
              <w:spacing w:after="240"/>
              <w:jc w:val="center"/>
              <w:rPr>
                <w:szCs w:val="18"/>
              </w:rPr>
            </w:pPr>
            <w:r>
              <w:rPr>
                <w:szCs w:val="18"/>
              </w:rPr>
              <w:t>No.</w:t>
            </w:r>
          </w:p>
        </w:tc>
        <w:tc>
          <w:tcPr>
            <w:tcW w:w="4653"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CCF425B" w14:textId="77777777" w:rsidR="009F23FB" w:rsidRPr="006F7214" w:rsidRDefault="009F23FB" w:rsidP="005A14AC">
            <w:pPr>
              <w:spacing w:after="240"/>
              <w:jc w:val="center"/>
              <w:cnfStyle w:val="100000000000" w:firstRow="1" w:lastRow="0" w:firstColumn="0" w:lastColumn="0" w:oddVBand="0" w:evenVBand="0" w:oddHBand="0" w:evenHBand="0" w:firstRowFirstColumn="0" w:firstRowLastColumn="0" w:lastRowFirstColumn="0" w:lastRowLastColumn="0"/>
              <w:rPr>
                <w:bCs w:val="0"/>
                <w:szCs w:val="18"/>
              </w:rPr>
            </w:pPr>
            <w:r w:rsidRPr="006F7214">
              <w:rPr>
                <w:szCs w:val="18"/>
              </w:rPr>
              <w:t>Issue</w:t>
            </w:r>
          </w:p>
        </w:tc>
        <w:tc>
          <w:tcPr>
            <w:tcW w:w="2096"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631971E" w14:textId="77777777" w:rsidR="009F23FB" w:rsidRPr="006F7214" w:rsidRDefault="009F23FB" w:rsidP="005A14AC">
            <w:pPr>
              <w:spacing w:after="240"/>
              <w:jc w:val="center"/>
              <w:cnfStyle w:val="100000000000" w:firstRow="1" w:lastRow="0" w:firstColumn="0" w:lastColumn="0" w:oddVBand="0" w:evenVBand="0" w:oddHBand="0" w:evenHBand="0" w:firstRowFirstColumn="0" w:firstRowLastColumn="0" w:lastRowFirstColumn="0" w:lastRowLastColumn="0"/>
              <w:rPr>
                <w:bCs w:val="0"/>
                <w:szCs w:val="18"/>
              </w:rPr>
            </w:pPr>
            <w:r w:rsidRPr="006F7214">
              <w:rPr>
                <w:szCs w:val="18"/>
              </w:rPr>
              <w:t>Raised by</w:t>
            </w:r>
          </w:p>
        </w:tc>
        <w:tc>
          <w:tcPr>
            <w:tcW w:w="6428"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277F2FB1" w14:textId="5727D441" w:rsidR="009F23FB" w:rsidRPr="006F7214" w:rsidRDefault="009F23FB" w:rsidP="005A14AC">
            <w:pPr>
              <w:spacing w:after="240"/>
              <w:ind w:left="77"/>
              <w:jc w:val="center"/>
              <w:cnfStyle w:val="100000000000" w:firstRow="1" w:lastRow="0" w:firstColumn="0" w:lastColumn="0" w:oddVBand="0" w:evenVBand="0" w:oddHBand="0" w:evenHBand="0" w:firstRowFirstColumn="0" w:firstRowLastColumn="0" w:lastRowFirstColumn="0" w:lastRowLastColumn="0"/>
              <w:rPr>
                <w:bCs w:val="0"/>
                <w:szCs w:val="18"/>
              </w:rPr>
            </w:pPr>
            <w:r w:rsidRPr="006F7214">
              <w:rPr>
                <w:szCs w:val="18"/>
              </w:rPr>
              <w:t>FSANZ response</w:t>
            </w:r>
          </w:p>
        </w:tc>
      </w:tr>
      <w:tr w:rsidR="00F6228C" w:rsidRPr="00125194" w14:paraId="5385EC7C" w14:textId="77777777" w:rsidTr="0052377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5" w:type="dxa"/>
            <w:tcBorders>
              <w:right w:val="single" w:sz="4" w:space="0" w:color="auto"/>
            </w:tcBorders>
            <w:shd w:val="clear" w:color="auto" w:fill="C2D69B" w:themeFill="accent3" w:themeFillTint="99"/>
            <w:vAlign w:val="center"/>
          </w:tcPr>
          <w:p w14:paraId="43D33B85" w14:textId="77777777" w:rsidR="00B46DEE" w:rsidRPr="009F23FB" w:rsidRDefault="00B46DEE" w:rsidP="009F23FB">
            <w:pPr>
              <w:pStyle w:val="Table2"/>
              <w:ind w:left="0" w:firstLine="0"/>
              <w:rPr>
                <w:sz w:val="22"/>
                <w:szCs w:val="22"/>
              </w:rPr>
            </w:pPr>
          </w:p>
        </w:tc>
        <w:tc>
          <w:tcPr>
            <w:tcW w:w="4708" w:type="dxa"/>
            <w:tcBorders>
              <w:right w:val="single" w:sz="4" w:space="0" w:color="auto"/>
            </w:tcBorders>
            <w:shd w:val="clear" w:color="auto" w:fill="C2D69B" w:themeFill="accent3" w:themeFillTint="99"/>
            <w:vAlign w:val="center"/>
          </w:tcPr>
          <w:p w14:paraId="199F245A" w14:textId="10FD58BB" w:rsidR="00B46DEE" w:rsidRPr="009B6610" w:rsidRDefault="00B46DEE" w:rsidP="009F23FB">
            <w:pPr>
              <w:pStyle w:val="Table2"/>
              <w:ind w:left="0" w:firstLine="0"/>
              <w:cnfStyle w:val="000000100000" w:firstRow="0" w:lastRow="0" w:firstColumn="0" w:lastColumn="0" w:oddVBand="0" w:evenVBand="0" w:oddHBand="1" w:evenHBand="0" w:firstRowFirstColumn="0" w:firstRowLastColumn="0" w:lastRowFirstColumn="0" w:lastRowLastColumn="0"/>
              <w:rPr>
                <w:b/>
                <w:sz w:val="22"/>
                <w:szCs w:val="22"/>
              </w:rPr>
            </w:pPr>
            <w:r w:rsidRPr="009B6610">
              <w:rPr>
                <w:b/>
                <w:sz w:val="22"/>
                <w:szCs w:val="22"/>
              </w:rPr>
              <w:t xml:space="preserve">Safety </w:t>
            </w:r>
            <w:r w:rsidR="00386381">
              <w:rPr>
                <w:b/>
                <w:sz w:val="22"/>
                <w:szCs w:val="22"/>
              </w:rPr>
              <w:t>assessment</w:t>
            </w:r>
          </w:p>
        </w:tc>
        <w:tc>
          <w:tcPr>
            <w:tcW w:w="2112" w:type="dxa"/>
            <w:tcBorders>
              <w:left w:val="single" w:sz="4" w:space="0" w:color="auto"/>
              <w:right w:val="single" w:sz="4" w:space="0" w:color="auto"/>
            </w:tcBorders>
            <w:shd w:val="clear" w:color="auto" w:fill="C2D69B" w:themeFill="accent3" w:themeFillTint="99"/>
            <w:vAlign w:val="center"/>
          </w:tcPr>
          <w:p w14:paraId="09424BAB" w14:textId="77777777" w:rsidR="00B46DEE" w:rsidRPr="009F23FB" w:rsidRDefault="00B46DEE" w:rsidP="009F23FB">
            <w:pPr>
              <w:pStyle w:val="Table2"/>
              <w:ind w:left="0" w:firstLine="0"/>
              <w:cnfStyle w:val="000000100000" w:firstRow="0" w:lastRow="0" w:firstColumn="0" w:lastColumn="0" w:oddVBand="0" w:evenVBand="0" w:oddHBand="1" w:evenHBand="0" w:firstRowFirstColumn="0" w:firstRowLastColumn="0" w:lastRowFirstColumn="0" w:lastRowLastColumn="0"/>
              <w:rPr>
                <w:sz w:val="22"/>
                <w:szCs w:val="22"/>
              </w:rPr>
            </w:pPr>
          </w:p>
        </w:tc>
        <w:tc>
          <w:tcPr>
            <w:tcW w:w="6523" w:type="dxa"/>
            <w:tcBorders>
              <w:left w:val="single" w:sz="4" w:space="0" w:color="auto"/>
            </w:tcBorders>
            <w:shd w:val="clear" w:color="auto" w:fill="C2D69B" w:themeFill="accent3" w:themeFillTint="99"/>
            <w:vAlign w:val="center"/>
          </w:tcPr>
          <w:p w14:paraId="4F5D90B9" w14:textId="77777777" w:rsidR="00B46DEE" w:rsidRPr="009F23FB" w:rsidRDefault="00B46DEE" w:rsidP="009B6610">
            <w:pPr>
              <w:pStyle w:val="Table2"/>
              <w:ind w:left="77" w:firstLine="0"/>
              <w:cnfStyle w:val="000000100000" w:firstRow="0" w:lastRow="0" w:firstColumn="0" w:lastColumn="0" w:oddVBand="0" w:evenVBand="0" w:oddHBand="1" w:evenHBand="0" w:firstRowFirstColumn="0" w:firstRowLastColumn="0" w:lastRowFirstColumn="0" w:lastRowLastColumn="0"/>
              <w:rPr>
                <w:sz w:val="22"/>
                <w:szCs w:val="22"/>
              </w:rPr>
            </w:pPr>
          </w:p>
        </w:tc>
      </w:tr>
      <w:tr w:rsidR="00F6228C" w:rsidRPr="00125194" w14:paraId="0388E554" w14:textId="77777777" w:rsidTr="00523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right w:val="single" w:sz="4" w:space="0" w:color="auto"/>
            </w:tcBorders>
          </w:tcPr>
          <w:p w14:paraId="53CE44BC" w14:textId="3D217535" w:rsidR="00B46DEE" w:rsidRPr="00021B6D" w:rsidRDefault="00614E7D" w:rsidP="00614E7D">
            <w:pPr>
              <w:pStyle w:val="Table2"/>
              <w:ind w:left="0" w:firstLine="0"/>
              <w:jc w:val="center"/>
              <w:rPr>
                <w:b w:val="0"/>
              </w:rPr>
            </w:pPr>
            <w:r>
              <w:rPr>
                <w:b w:val="0"/>
              </w:rPr>
              <w:t>1</w:t>
            </w:r>
          </w:p>
        </w:tc>
        <w:tc>
          <w:tcPr>
            <w:tcW w:w="4708" w:type="dxa"/>
            <w:tcBorders>
              <w:right w:val="single" w:sz="4" w:space="0" w:color="auto"/>
            </w:tcBorders>
          </w:tcPr>
          <w:p w14:paraId="2B2FCB85" w14:textId="77777777" w:rsidR="00B46DEE" w:rsidRPr="00B97010" w:rsidRDefault="00B46DEE" w:rsidP="009F23FB">
            <w:pPr>
              <w:pStyle w:val="Table2"/>
              <w:ind w:left="0" w:firstLine="0"/>
              <w:cnfStyle w:val="000000010000" w:firstRow="0" w:lastRow="0" w:firstColumn="0" w:lastColumn="0" w:oddVBand="0" w:evenVBand="0" w:oddHBand="0" w:evenHBand="1" w:firstRowFirstColumn="0" w:firstRowLastColumn="0" w:lastRowFirstColumn="0" w:lastRowLastColumn="0"/>
            </w:pPr>
            <w:r w:rsidRPr="00B97010">
              <w:t>The safety of irradiated food has not been established. Multiple studies suggest there should be concerns about the effects of food irradiation on health.</w:t>
            </w:r>
          </w:p>
        </w:tc>
        <w:tc>
          <w:tcPr>
            <w:tcW w:w="2112" w:type="dxa"/>
            <w:tcBorders>
              <w:left w:val="single" w:sz="4" w:space="0" w:color="auto"/>
              <w:right w:val="single" w:sz="4" w:space="0" w:color="auto"/>
            </w:tcBorders>
          </w:tcPr>
          <w:p w14:paraId="18C895A2" w14:textId="77777777" w:rsidR="00DF3F17" w:rsidRPr="00DF3F17" w:rsidRDefault="00DF3F17" w:rsidP="00DF3F17">
            <w:pPr>
              <w:pStyle w:val="Table2"/>
              <w:cnfStyle w:val="000000010000" w:firstRow="0" w:lastRow="0" w:firstColumn="0" w:lastColumn="0" w:oddVBand="0" w:evenVBand="0" w:oddHBand="0" w:evenHBand="1" w:firstRowFirstColumn="0" w:firstRowLastColumn="0" w:lastRowFirstColumn="0" w:lastRowLastColumn="0"/>
            </w:pPr>
            <w:r w:rsidRPr="00DF3F17">
              <w:t>Private individuals</w:t>
            </w:r>
          </w:p>
          <w:p w14:paraId="622136AD" w14:textId="77777777" w:rsidR="00DF3F17" w:rsidRPr="00DF3F17" w:rsidRDefault="00DF3F17" w:rsidP="00DF3F17">
            <w:pPr>
              <w:pStyle w:val="Table2"/>
              <w:cnfStyle w:val="000000010000" w:firstRow="0" w:lastRow="0" w:firstColumn="0" w:lastColumn="0" w:oddVBand="0" w:evenVBand="0" w:oddHBand="0" w:evenHBand="1" w:firstRowFirstColumn="0" w:firstRowLastColumn="0" w:lastRowFirstColumn="0" w:lastRowLastColumn="0"/>
            </w:pPr>
          </w:p>
          <w:p w14:paraId="2F3B67FC" w14:textId="77777777" w:rsidR="00DF3F17" w:rsidRPr="00DF3F17" w:rsidRDefault="00DF3F17" w:rsidP="00DF3F17">
            <w:pPr>
              <w:pStyle w:val="Table2"/>
              <w:cnfStyle w:val="000000010000" w:firstRow="0" w:lastRow="0" w:firstColumn="0" w:lastColumn="0" w:oddVBand="0" w:evenVBand="0" w:oddHBand="0" w:evenHBand="1" w:firstRowFirstColumn="0" w:firstRowLastColumn="0" w:lastRowFirstColumn="0" w:lastRowLastColumn="0"/>
            </w:pPr>
            <w:r w:rsidRPr="00DF3F17">
              <w:t>GE Free Northland</w:t>
            </w:r>
          </w:p>
          <w:p w14:paraId="1510FFEC" w14:textId="77777777" w:rsidR="00DF3F17" w:rsidRPr="00DF3F17" w:rsidRDefault="00DF3F17" w:rsidP="00DF3F17">
            <w:pPr>
              <w:pStyle w:val="Table2"/>
              <w:cnfStyle w:val="000000010000" w:firstRow="0" w:lastRow="0" w:firstColumn="0" w:lastColumn="0" w:oddVBand="0" w:evenVBand="0" w:oddHBand="0" w:evenHBand="1" w:firstRowFirstColumn="0" w:firstRowLastColumn="0" w:lastRowFirstColumn="0" w:lastRowLastColumn="0"/>
            </w:pPr>
          </w:p>
          <w:p w14:paraId="4836BE40" w14:textId="77777777" w:rsidR="00DF3F17" w:rsidRPr="00DF3F17" w:rsidRDefault="00DF3F17" w:rsidP="00DF3F17">
            <w:pPr>
              <w:pStyle w:val="Table2"/>
              <w:cnfStyle w:val="000000010000" w:firstRow="0" w:lastRow="0" w:firstColumn="0" w:lastColumn="0" w:oddVBand="0" w:evenVBand="0" w:oddHBand="0" w:evenHBand="1" w:firstRowFirstColumn="0" w:firstRowLastColumn="0" w:lastRowFirstColumn="0" w:lastRowLastColumn="0"/>
            </w:pPr>
            <w:r w:rsidRPr="00DF3F17">
              <w:t>Health practitioners</w:t>
            </w:r>
          </w:p>
          <w:p w14:paraId="772D7BF5" w14:textId="77777777" w:rsidR="00DF3F17" w:rsidRPr="00DF3F17" w:rsidRDefault="00DF3F17" w:rsidP="00DF3F17">
            <w:pPr>
              <w:pStyle w:val="Table2"/>
              <w:cnfStyle w:val="000000010000" w:firstRow="0" w:lastRow="0" w:firstColumn="0" w:lastColumn="0" w:oddVBand="0" w:evenVBand="0" w:oddHBand="0" w:evenHBand="1" w:firstRowFirstColumn="0" w:firstRowLastColumn="0" w:lastRowFirstColumn="0" w:lastRowLastColumn="0"/>
            </w:pPr>
          </w:p>
          <w:p w14:paraId="26F9569F" w14:textId="77777777" w:rsidR="00DF3F17" w:rsidRPr="00DF3F17" w:rsidRDefault="00DF3F17" w:rsidP="00DF3F17">
            <w:pPr>
              <w:pStyle w:val="Table2"/>
              <w:cnfStyle w:val="000000010000" w:firstRow="0" w:lastRow="0" w:firstColumn="0" w:lastColumn="0" w:oddVBand="0" w:evenVBand="0" w:oddHBand="0" w:evenHBand="1" w:firstRowFirstColumn="0" w:firstRowLastColumn="0" w:lastRowFirstColumn="0" w:lastRowLastColumn="0"/>
            </w:pPr>
            <w:r w:rsidRPr="00DF3F17">
              <w:t>Academia</w:t>
            </w:r>
          </w:p>
          <w:p w14:paraId="467CEBE6" w14:textId="77777777" w:rsidR="00DF3F17" w:rsidRPr="00DF3F17" w:rsidRDefault="00DF3F17" w:rsidP="00DF3F17">
            <w:pPr>
              <w:pStyle w:val="Table2"/>
              <w:cnfStyle w:val="000000010000" w:firstRow="0" w:lastRow="0" w:firstColumn="0" w:lastColumn="0" w:oddVBand="0" w:evenVBand="0" w:oddHBand="0" w:evenHBand="1" w:firstRowFirstColumn="0" w:firstRowLastColumn="0" w:lastRowFirstColumn="0" w:lastRowLastColumn="0"/>
            </w:pPr>
          </w:p>
          <w:p w14:paraId="4172C41A" w14:textId="233EDD4C" w:rsidR="00DF3F17" w:rsidRPr="00DF3F17" w:rsidRDefault="00DF3F17" w:rsidP="00614E7D">
            <w:pPr>
              <w:pStyle w:val="Table2"/>
              <w:ind w:left="0" w:firstLine="0"/>
              <w:cnfStyle w:val="000000010000" w:firstRow="0" w:lastRow="0" w:firstColumn="0" w:lastColumn="0" w:oddVBand="0" w:evenVBand="0" w:oddHBand="0" w:evenHBand="1" w:firstRowFirstColumn="0" w:firstRowLastColumn="0" w:lastRowFirstColumn="0" w:lastRowLastColumn="0"/>
            </w:pPr>
            <w:r w:rsidRPr="00DF3F17">
              <w:t xml:space="preserve">Sustainable </w:t>
            </w:r>
            <w:r w:rsidR="00694476">
              <w:t>A</w:t>
            </w:r>
            <w:r w:rsidR="00694476" w:rsidRPr="00DF3F17">
              <w:t xml:space="preserve">griculture </w:t>
            </w:r>
            <w:r w:rsidRPr="00DF3F17">
              <w:t xml:space="preserve">and </w:t>
            </w:r>
            <w:r w:rsidR="00694476">
              <w:t>C</w:t>
            </w:r>
            <w:r w:rsidRPr="00DF3F17">
              <w:t xml:space="preserve">ommunities </w:t>
            </w:r>
            <w:r w:rsidR="00694476">
              <w:t>A</w:t>
            </w:r>
            <w:r w:rsidRPr="00DF3F17">
              <w:t>lliance (SACA), Victoria</w:t>
            </w:r>
          </w:p>
          <w:p w14:paraId="6AD9E259" w14:textId="77777777" w:rsidR="00DF3F17" w:rsidRPr="00DF3F17" w:rsidRDefault="00DF3F17" w:rsidP="00DF3F17">
            <w:pPr>
              <w:pStyle w:val="Table2"/>
              <w:cnfStyle w:val="000000010000" w:firstRow="0" w:lastRow="0" w:firstColumn="0" w:lastColumn="0" w:oddVBand="0" w:evenVBand="0" w:oddHBand="0" w:evenHBand="1" w:firstRowFirstColumn="0" w:firstRowLastColumn="0" w:lastRowFirstColumn="0" w:lastRowLastColumn="0"/>
            </w:pPr>
          </w:p>
          <w:p w14:paraId="43CD666B" w14:textId="77777777" w:rsidR="00DF3F17" w:rsidRPr="00DF3F17" w:rsidRDefault="00DF3F17" w:rsidP="00DF3F17">
            <w:pPr>
              <w:pStyle w:val="Table2"/>
              <w:cnfStyle w:val="000000010000" w:firstRow="0" w:lastRow="0" w:firstColumn="0" w:lastColumn="0" w:oddVBand="0" w:evenVBand="0" w:oddHBand="0" w:evenHBand="1" w:firstRowFirstColumn="0" w:firstRowLastColumn="0" w:lastRowFirstColumn="0" w:lastRowLastColumn="0"/>
            </w:pPr>
            <w:r w:rsidRPr="00DF3F17">
              <w:t>GE Free NZ</w:t>
            </w:r>
          </w:p>
          <w:p w14:paraId="39DEFAE7" w14:textId="77777777" w:rsidR="00DF3F17" w:rsidRPr="00DF3F17" w:rsidRDefault="00DF3F17" w:rsidP="00DF3F17">
            <w:pPr>
              <w:pStyle w:val="Table2"/>
              <w:cnfStyle w:val="000000010000" w:firstRow="0" w:lastRow="0" w:firstColumn="0" w:lastColumn="0" w:oddVBand="0" w:evenVBand="0" w:oddHBand="0" w:evenHBand="1" w:firstRowFirstColumn="0" w:firstRowLastColumn="0" w:lastRowFirstColumn="0" w:lastRowLastColumn="0"/>
            </w:pPr>
          </w:p>
          <w:p w14:paraId="639F8462" w14:textId="3A4C3634" w:rsidR="00B46DEE" w:rsidRPr="00125194" w:rsidRDefault="00DF3F17" w:rsidP="00614E7D">
            <w:pPr>
              <w:pStyle w:val="Table2"/>
              <w:ind w:left="0" w:firstLine="0"/>
              <w:cnfStyle w:val="000000010000" w:firstRow="0" w:lastRow="0" w:firstColumn="0" w:lastColumn="0" w:oddVBand="0" w:evenVBand="0" w:oddHBand="0" w:evenHBand="1" w:firstRowFirstColumn="0" w:firstRowLastColumn="0" w:lastRowFirstColumn="0" w:lastRowLastColumn="0"/>
            </w:pPr>
            <w:r w:rsidRPr="00DF3F17">
              <w:t>Food Irradiation Watch/Gene Ethics</w:t>
            </w:r>
          </w:p>
        </w:tc>
        <w:tc>
          <w:tcPr>
            <w:tcW w:w="6523" w:type="dxa"/>
            <w:tcBorders>
              <w:left w:val="single" w:sz="4" w:space="0" w:color="auto"/>
            </w:tcBorders>
          </w:tcPr>
          <w:p w14:paraId="59BAD3D0" w14:textId="3EB38288" w:rsidR="007D05E2" w:rsidRDefault="007D04D7" w:rsidP="007D05E2">
            <w:pPr>
              <w:pStyle w:val="Table2"/>
              <w:ind w:left="77" w:firstLine="0"/>
              <w:cnfStyle w:val="000000010000" w:firstRow="0" w:lastRow="0" w:firstColumn="0" w:lastColumn="0" w:oddVBand="0" w:evenVBand="0" w:oddHBand="0" w:evenHBand="1" w:firstRowFirstColumn="0" w:firstRowLastColumn="0" w:lastRowFirstColumn="0" w:lastRowLastColumn="0"/>
            </w:pPr>
            <w:r>
              <w:t xml:space="preserve">For the reasons set out in this report and </w:t>
            </w:r>
            <w:r w:rsidR="0084604C">
              <w:t>SD1</w:t>
            </w:r>
            <w:r>
              <w:t>,</w:t>
            </w:r>
            <w:r w:rsidR="007D05E2">
              <w:t xml:space="preserve"> FSANZ remain</w:t>
            </w:r>
            <w:r w:rsidR="0084604C">
              <w:t>s</w:t>
            </w:r>
            <w:r w:rsidR="007D05E2">
              <w:t xml:space="preserve"> satisfied that irradiation of fruit and vegetables as proposed will not pose a public health and safety risk.</w:t>
            </w:r>
          </w:p>
          <w:p w14:paraId="2B905B44" w14:textId="77777777" w:rsidR="007D05E2" w:rsidRDefault="007D05E2" w:rsidP="007D05E2">
            <w:pPr>
              <w:pStyle w:val="Table2"/>
              <w:ind w:left="77" w:firstLine="0"/>
              <w:cnfStyle w:val="000000010000" w:firstRow="0" w:lastRow="0" w:firstColumn="0" w:lastColumn="0" w:oddVBand="0" w:evenVBand="0" w:oddHBand="0" w:evenHBand="1" w:firstRowFirstColumn="0" w:firstRowLastColumn="0" w:lastRowFirstColumn="0" w:lastRowLastColumn="0"/>
            </w:pPr>
          </w:p>
          <w:p w14:paraId="79A67FFC" w14:textId="15F241CC" w:rsidR="00B46DEE" w:rsidRPr="00125194" w:rsidRDefault="00B46DEE" w:rsidP="007D05E2">
            <w:pPr>
              <w:pStyle w:val="Table2"/>
              <w:ind w:left="77" w:firstLine="0"/>
              <w:cnfStyle w:val="000000010000" w:firstRow="0" w:lastRow="0" w:firstColumn="0" w:lastColumn="0" w:oddVBand="0" w:evenVBand="0" w:oddHBand="0" w:evenHBand="1" w:firstRowFirstColumn="0" w:firstRowLastColumn="0" w:lastRowFirstColumn="0" w:lastRowLastColumn="0"/>
            </w:pPr>
            <w:r w:rsidRPr="00E31260">
              <w:t>Submitters cited numerous studies or articles indicating that food irradiation is unsafe due to formation of radiolytic compounds, free radicals, carcinogens, and other toxic chemicals. FSANZ reviewed all the studies and articles and found that these have either been addressed in previous FSANZ risk assessments, are incorrect or irrelevant, have been misrepresented in the article,</w:t>
            </w:r>
            <w:r w:rsidR="007F05E9">
              <w:t xml:space="preserve"> </w:t>
            </w:r>
            <w:r w:rsidRPr="00E31260">
              <w:t xml:space="preserve">or actually support irradiation (see </w:t>
            </w:r>
            <w:r w:rsidR="00AF38B0">
              <w:fldChar w:fldCharType="begin"/>
            </w:r>
            <w:r w:rsidR="00AF38B0">
              <w:instrText xml:space="preserve"> REF _Ref65681610 \h </w:instrText>
            </w:r>
            <w:r w:rsidR="00614E7D">
              <w:instrText xml:space="preserve"> \* MERGEFORMAT </w:instrText>
            </w:r>
            <w:r w:rsidR="00AF38B0">
              <w:fldChar w:fldCharType="separate"/>
            </w:r>
            <w:r w:rsidR="00A67B9C">
              <w:t xml:space="preserve">Appendix </w:t>
            </w:r>
            <w:r w:rsidR="00A67B9C">
              <w:rPr>
                <w:noProof/>
              </w:rPr>
              <w:t>2</w:t>
            </w:r>
            <w:r w:rsidR="00AF38B0">
              <w:fldChar w:fldCharType="end"/>
            </w:r>
            <w:r w:rsidRPr="00E31260">
              <w:t xml:space="preserve"> for FSANZ comments on studies).</w:t>
            </w:r>
          </w:p>
        </w:tc>
      </w:tr>
      <w:tr w:rsidR="00F6228C" w:rsidRPr="00125194" w14:paraId="63779D88"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right w:val="single" w:sz="4" w:space="0" w:color="auto"/>
            </w:tcBorders>
          </w:tcPr>
          <w:p w14:paraId="35D287E1" w14:textId="0646A5AA" w:rsidR="00B46DEE" w:rsidRPr="004607A2" w:rsidRDefault="00614E7D" w:rsidP="00614E7D">
            <w:pPr>
              <w:pStyle w:val="Table2"/>
              <w:ind w:left="0" w:firstLine="0"/>
              <w:jc w:val="center"/>
              <w:rPr>
                <w:b w:val="0"/>
              </w:rPr>
            </w:pPr>
            <w:r>
              <w:rPr>
                <w:b w:val="0"/>
              </w:rPr>
              <w:t>2</w:t>
            </w:r>
          </w:p>
        </w:tc>
        <w:tc>
          <w:tcPr>
            <w:tcW w:w="4708" w:type="dxa"/>
            <w:tcBorders>
              <w:right w:val="single" w:sz="4" w:space="0" w:color="auto"/>
            </w:tcBorders>
          </w:tcPr>
          <w:p w14:paraId="68B39DB3" w14:textId="77777777" w:rsidR="00B46DEE" w:rsidRPr="00B97010" w:rsidRDefault="00B46DEE" w:rsidP="009F23FB">
            <w:pPr>
              <w:pStyle w:val="Table2"/>
              <w:ind w:left="0" w:firstLine="0"/>
              <w:cnfStyle w:val="000000100000" w:firstRow="0" w:lastRow="0" w:firstColumn="0" w:lastColumn="0" w:oddVBand="0" w:evenVBand="0" w:oddHBand="1" w:evenHBand="0" w:firstRowFirstColumn="0" w:firstRowLastColumn="0" w:lastRowFirstColumn="0" w:lastRowLastColumn="0"/>
            </w:pPr>
            <w:r w:rsidRPr="00B97010">
              <w:t>Irradiation can cause the accumulation of toxic radiolytic compounds that may be mutagenic and carcinogenic.</w:t>
            </w:r>
          </w:p>
        </w:tc>
        <w:tc>
          <w:tcPr>
            <w:tcW w:w="2112" w:type="dxa"/>
            <w:tcBorders>
              <w:left w:val="single" w:sz="4" w:space="0" w:color="auto"/>
              <w:right w:val="single" w:sz="4" w:space="0" w:color="auto"/>
            </w:tcBorders>
          </w:tcPr>
          <w:p w14:paraId="7A37A9E2" w14:textId="77777777" w:rsidR="00DF3F17" w:rsidRPr="00DF3F17" w:rsidRDefault="00DF3F17" w:rsidP="00614E7D">
            <w:pPr>
              <w:pStyle w:val="Table2"/>
              <w:ind w:left="0" w:firstLine="0"/>
              <w:cnfStyle w:val="000000100000" w:firstRow="0" w:lastRow="0" w:firstColumn="0" w:lastColumn="0" w:oddVBand="0" w:evenVBand="0" w:oddHBand="1" w:evenHBand="0" w:firstRowFirstColumn="0" w:firstRowLastColumn="0" w:lastRowFirstColumn="0" w:lastRowLastColumn="0"/>
            </w:pPr>
            <w:r w:rsidRPr="00DF3F17">
              <w:t>Food Irradiation Watch/Gene Ethics</w:t>
            </w:r>
          </w:p>
          <w:p w14:paraId="447D2E19" w14:textId="77777777" w:rsidR="00DF3F17" w:rsidRPr="00DF3F17" w:rsidRDefault="00DF3F17" w:rsidP="00DF3F17">
            <w:pPr>
              <w:pStyle w:val="Table2"/>
              <w:cnfStyle w:val="000000100000" w:firstRow="0" w:lastRow="0" w:firstColumn="0" w:lastColumn="0" w:oddVBand="0" w:evenVBand="0" w:oddHBand="1" w:evenHBand="0" w:firstRowFirstColumn="0" w:firstRowLastColumn="0" w:lastRowFirstColumn="0" w:lastRowLastColumn="0"/>
            </w:pPr>
          </w:p>
          <w:p w14:paraId="115E5D9C" w14:textId="77777777" w:rsidR="00DF3F17" w:rsidRPr="00DF3F17" w:rsidRDefault="00DF3F17" w:rsidP="00DF3F17">
            <w:pPr>
              <w:pStyle w:val="Table2"/>
              <w:cnfStyle w:val="000000100000" w:firstRow="0" w:lastRow="0" w:firstColumn="0" w:lastColumn="0" w:oddVBand="0" w:evenVBand="0" w:oddHBand="1" w:evenHBand="0" w:firstRowFirstColumn="0" w:firstRowLastColumn="0" w:lastRowFirstColumn="0" w:lastRowLastColumn="0"/>
            </w:pPr>
            <w:r w:rsidRPr="00DF3F17">
              <w:t>Private individuals</w:t>
            </w:r>
          </w:p>
          <w:p w14:paraId="6C39EC0E" w14:textId="77777777" w:rsidR="00DF3F17" w:rsidRPr="00DF3F17" w:rsidRDefault="00DF3F17" w:rsidP="00DF3F17">
            <w:pPr>
              <w:pStyle w:val="Table2"/>
              <w:cnfStyle w:val="000000100000" w:firstRow="0" w:lastRow="0" w:firstColumn="0" w:lastColumn="0" w:oddVBand="0" w:evenVBand="0" w:oddHBand="1" w:evenHBand="0" w:firstRowFirstColumn="0" w:firstRowLastColumn="0" w:lastRowFirstColumn="0" w:lastRowLastColumn="0"/>
            </w:pPr>
          </w:p>
          <w:p w14:paraId="4DB5C97F" w14:textId="2F8BEA9D" w:rsidR="00B46DEE" w:rsidRPr="00125194" w:rsidRDefault="00DF3F17" w:rsidP="00614E7D">
            <w:pPr>
              <w:pStyle w:val="Table2"/>
              <w:ind w:left="0" w:firstLine="0"/>
              <w:cnfStyle w:val="000000100000" w:firstRow="0" w:lastRow="0" w:firstColumn="0" w:lastColumn="0" w:oddVBand="0" w:evenVBand="0" w:oddHBand="1" w:evenHBand="0" w:firstRowFirstColumn="0" w:firstRowLastColumn="0" w:lastRowFirstColumn="0" w:lastRowLastColumn="0"/>
            </w:pPr>
            <w:r w:rsidRPr="00DF3F17">
              <w:t xml:space="preserve">Sustainable </w:t>
            </w:r>
            <w:r w:rsidR="00694476">
              <w:t>A</w:t>
            </w:r>
            <w:r w:rsidRPr="00DF3F17">
              <w:t xml:space="preserve">griculture and </w:t>
            </w:r>
            <w:r w:rsidR="00694476">
              <w:t>C</w:t>
            </w:r>
            <w:r w:rsidRPr="00DF3F17">
              <w:t xml:space="preserve">ommunities </w:t>
            </w:r>
            <w:r w:rsidR="00694476">
              <w:t>A</w:t>
            </w:r>
            <w:r w:rsidRPr="00DF3F17">
              <w:t>lliance (SACA), Victoria</w:t>
            </w:r>
          </w:p>
        </w:tc>
        <w:tc>
          <w:tcPr>
            <w:tcW w:w="6523" w:type="dxa"/>
            <w:tcBorders>
              <w:left w:val="single" w:sz="4" w:space="0" w:color="auto"/>
            </w:tcBorders>
          </w:tcPr>
          <w:p w14:paraId="51FFF570" w14:textId="5F398A25" w:rsidR="00B46DEE" w:rsidRPr="00125194" w:rsidRDefault="00B46DEE" w:rsidP="004E7F22">
            <w:pPr>
              <w:pStyle w:val="Table2"/>
              <w:ind w:left="77" w:firstLine="0"/>
              <w:cnfStyle w:val="000000100000" w:firstRow="0" w:lastRow="0" w:firstColumn="0" w:lastColumn="0" w:oddVBand="0" w:evenVBand="0" w:oddHBand="1" w:evenHBand="0" w:firstRowFirstColumn="0" w:firstRowLastColumn="0" w:lastRowFirstColumn="0" w:lastRowLastColumn="0"/>
            </w:pPr>
            <w:r w:rsidRPr="00E31260">
              <w:t>Hazard assessment of the radiolytic products is included in SD1. It was concluded in this and previous FSANZ hazard assessments of radiolytic products, as well as by the World Health Organi</w:t>
            </w:r>
            <w:r w:rsidR="004E7F22">
              <w:t>z</w:t>
            </w:r>
            <w:r w:rsidRPr="00E31260">
              <w:t>ation</w:t>
            </w:r>
            <w:r w:rsidR="00523779">
              <w:t xml:space="preserve"> (WHO)</w:t>
            </w:r>
            <w:r w:rsidRPr="00E31260">
              <w:t>, European Food Safety Authority</w:t>
            </w:r>
            <w:r w:rsidR="00523779">
              <w:t xml:space="preserve"> (EFSA)</w:t>
            </w:r>
            <w:r w:rsidRPr="00E31260">
              <w:t xml:space="preserve">, US Food and Drug Administration </w:t>
            </w:r>
            <w:r w:rsidR="00523779">
              <w:t xml:space="preserve">(US FDA) </w:t>
            </w:r>
            <w:r w:rsidRPr="00E31260">
              <w:t>and other regulatory authorities, that phytosanitary irradiation does not increase the risk of cancer. No new information was</w:t>
            </w:r>
            <w:r w:rsidR="007D05E2">
              <w:t xml:space="preserve"> provided by submitters or</w:t>
            </w:r>
            <w:r w:rsidRPr="00E31260">
              <w:t xml:space="preserve"> located </w:t>
            </w:r>
            <w:r w:rsidR="007D05E2">
              <w:t xml:space="preserve">by FSANZ </w:t>
            </w:r>
            <w:r w:rsidRPr="00E31260">
              <w:t>that would lead FSANZ to change its previous conclusions.</w:t>
            </w:r>
          </w:p>
        </w:tc>
      </w:tr>
      <w:tr w:rsidR="00F6228C" w:rsidRPr="00125194" w14:paraId="0A4BDE3C" w14:textId="77777777" w:rsidTr="00523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right w:val="single" w:sz="4" w:space="0" w:color="auto"/>
            </w:tcBorders>
          </w:tcPr>
          <w:p w14:paraId="7EE34E0F" w14:textId="02FE6D32" w:rsidR="00B46DEE" w:rsidRDefault="00614E7D" w:rsidP="00614E7D">
            <w:pPr>
              <w:pStyle w:val="Table2"/>
              <w:ind w:left="0" w:firstLine="0"/>
              <w:jc w:val="center"/>
              <w:rPr>
                <w:b w:val="0"/>
              </w:rPr>
            </w:pPr>
            <w:r>
              <w:rPr>
                <w:b w:val="0"/>
              </w:rPr>
              <w:t>3</w:t>
            </w:r>
          </w:p>
        </w:tc>
        <w:tc>
          <w:tcPr>
            <w:tcW w:w="4708" w:type="dxa"/>
            <w:tcBorders>
              <w:right w:val="single" w:sz="4" w:space="0" w:color="auto"/>
            </w:tcBorders>
          </w:tcPr>
          <w:p w14:paraId="7136859D" w14:textId="77777777" w:rsidR="00B46DEE" w:rsidRPr="00B97010" w:rsidRDefault="00B46DEE" w:rsidP="009F23FB">
            <w:pPr>
              <w:pStyle w:val="Table2"/>
              <w:ind w:left="0" w:firstLine="0"/>
              <w:cnfStyle w:val="000000010000" w:firstRow="0" w:lastRow="0" w:firstColumn="0" w:lastColumn="0" w:oddVBand="0" w:evenVBand="0" w:oddHBand="0" w:evenHBand="1" w:firstRowFirstColumn="0" w:firstRowLastColumn="0" w:lastRowFirstColumn="0" w:lastRowLastColumn="0"/>
            </w:pPr>
            <w:r w:rsidRPr="00B97010">
              <w:t>FSANZ should give consideration to conducting a dietary exposure assessment for furans to show that irradiation of food has no impact on exposure to furans through the diet.</w:t>
            </w:r>
          </w:p>
        </w:tc>
        <w:tc>
          <w:tcPr>
            <w:tcW w:w="2112" w:type="dxa"/>
            <w:tcBorders>
              <w:left w:val="single" w:sz="4" w:space="0" w:color="auto"/>
              <w:right w:val="single" w:sz="4" w:space="0" w:color="auto"/>
            </w:tcBorders>
          </w:tcPr>
          <w:p w14:paraId="53B0D517" w14:textId="77777777" w:rsidR="00B46DEE" w:rsidRPr="00125194" w:rsidRDefault="00B46DEE" w:rsidP="009B6610">
            <w:pPr>
              <w:pStyle w:val="Table2"/>
              <w:ind w:left="0" w:firstLine="0"/>
              <w:cnfStyle w:val="000000010000" w:firstRow="0" w:lastRow="0" w:firstColumn="0" w:lastColumn="0" w:oddVBand="0" w:evenVBand="0" w:oddHBand="0" w:evenHBand="1" w:firstRowFirstColumn="0" w:firstRowLastColumn="0" w:lastRowFirstColumn="0" w:lastRowLastColumn="0"/>
            </w:pPr>
            <w:r w:rsidRPr="00B97010">
              <w:t>New Zealand Food Safety</w:t>
            </w:r>
          </w:p>
        </w:tc>
        <w:tc>
          <w:tcPr>
            <w:tcW w:w="6523" w:type="dxa"/>
            <w:tcBorders>
              <w:left w:val="single" w:sz="4" w:space="0" w:color="auto"/>
            </w:tcBorders>
          </w:tcPr>
          <w:p w14:paraId="41EBB357" w14:textId="30BCAD97" w:rsidR="00B46DEE" w:rsidRPr="00125194" w:rsidRDefault="00B46DEE" w:rsidP="0084604C">
            <w:pPr>
              <w:pStyle w:val="Table2"/>
              <w:ind w:left="77" w:firstLine="0"/>
              <w:cnfStyle w:val="000000010000" w:firstRow="0" w:lastRow="0" w:firstColumn="0" w:lastColumn="0" w:oddVBand="0" w:evenVBand="0" w:oddHBand="0" w:evenHBand="1" w:firstRowFirstColumn="0" w:firstRowLastColumn="0" w:lastRowFirstColumn="0" w:lastRowLastColumn="0"/>
            </w:pPr>
            <w:r w:rsidRPr="00B97010">
              <w:t xml:space="preserve">A review of the data from the New Zealand Dietary Furan Programme was undertaken and a summary of relevant concentration data and estimates of furan dietary exposure </w:t>
            </w:r>
            <w:r w:rsidR="007F05E9">
              <w:t>have been included in SD1 (S</w:t>
            </w:r>
            <w:r w:rsidRPr="00B97010">
              <w:t xml:space="preserve">ection 3.2.2.1). In addition, consideration of the potential worst case dietary exposure to furan from irradiated fruit and vegetables was estimated and a comparison made with total dietary exposure to furan. This showed that </w:t>
            </w:r>
            <w:r w:rsidR="007D05E2">
              <w:t xml:space="preserve">exposure to </w:t>
            </w:r>
            <w:r w:rsidRPr="00B97010">
              <w:t>furan from irradiated fruits and vegetables is likely to be negligible</w:t>
            </w:r>
            <w:r w:rsidR="009B6610">
              <w:t>.</w:t>
            </w:r>
          </w:p>
        </w:tc>
      </w:tr>
      <w:tr w:rsidR="00F6228C" w:rsidRPr="00125194" w14:paraId="582F1ECB"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tcPr>
          <w:p w14:paraId="1B995E2B" w14:textId="75B6C340" w:rsidR="00B46DEE" w:rsidRPr="004607A2" w:rsidRDefault="00614E7D" w:rsidP="00614E7D">
            <w:pPr>
              <w:jc w:val="center"/>
              <w:rPr>
                <w:b w:val="0"/>
                <w:sz w:val="18"/>
                <w:szCs w:val="20"/>
              </w:rPr>
            </w:pPr>
            <w:r>
              <w:rPr>
                <w:b w:val="0"/>
                <w:sz w:val="18"/>
                <w:szCs w:val="20"/>
              </w:rPr>
              <w:t>4</w:t>
            </w:r>
          </w:p>
        </w:tc>
        <w:tc>
          <w:tcPr>
            <w:tcW w:w="4708" w:type="dxa"/>
            <w:tcBorders>
              <w:bottom w:val="single" w:sz="4" w:space="0" w:color="auto"/>
              <w:right w:val="single" w:sz="4" w:space="0" w:color="auto"/>
            </w:tcBorders>
          </w:tcPr>
          <w:p w14:paraId="65BE5E34" w14:textId="77777777" w:rsidR="00B46DEE" w:rsidRPr="00B97010" w:rsidRDefault="00B46DEE" w:rsidP="009F23FB">
            <w:pPr>
              <w:cnfStyle w:val="000000100000" w:firstRow="0" w:lastRow="0" w:firstColumn="0" w:lastColumn="0" w:oddVBand="0" w:evenVBand="0" w:oddHBand="1" w:evenHBand="0" w:firstRowFirstColumn="0" w:firstRowLastColumn="0" w:lastRowFirstColumn="0" w:lastRowLastColumn="0"/>
            </w:pPr>
            <w:r w:rsidRPr="00B97010">
              <w:rPr>
                <w:sz w:val="18"/>
                <w:szCs w:val="20"/>
              </w:rPr>
              <w:t>Irradiation of pet food responsible for neurological disorders leading to paralysis and death in cats.</w:t>
            </w:r>
          </w:p>
        </w:tc>
        <w:tc>
          <w:tcPr>
            <w:tcW w:w="2112" w:type="dxa"/>
            <w:tcBorders>
              <w:left w:val="single" w:sz="4" w:space="0" w:color="auto"/>
              <w:bottom w:val="single" w:sz="4" w:space="0" w:color="auto"/>
              <w:right w:val="single" w:sz="4" w:space="0" w:color="auto"/>
            </w:tcBorders>
          </w:tcPr>
          <w:p w14:paraId="66572C24" w14:textId="77777777" w:rsidR="00DF3F17" w:rsidRPr="00DF3F17" w:rsidRDefault="00DF3F17" w:rsidP="00DF3F17">
            <w:pPr>
              <w:pStyle w:val="Table2"/>
              <w:cnfStyle w:val="000000100000" w:firstRow="0" w:lastRow="0" w:firstColumn="0" w:lastColumn="0" w:oddVBand="0" w:evenVBand="0" w:oddHBand="1" w:evenHBand="0" w:firstRowFirstColumn="0" w:firstRowLastColumn="0" w:lastRowFirstColumn="0" w:lastRowLastColumn="0"/>
            </w:pPr>
            <w:r w:rsidRPr="00DF3F17">
              <w:t>Private individuals</w:t>
            </w:r>
          </w:p>
          <w:p w14:paraId="39455E36" w14:textId="77777777" w:rsidR="00DF3F17" w:rsidRPr="00DF3F17" w:rsidRDefault="00DF3F17" w:rsidP="00DF3F17">
            <w:pPr>
              <w:pStyle w:val="Table2"/>
              <w:cnfStyle w:val="000000100000" w:firstRow="0" w:lastRow="0" w:firstColumn="0" w:lastColumn="0" w:oddVBand="0" w:evenVBand="0" w:oddHBand="1" w:evenHBand="0" w:firstRowFirstColumn="0" w:firstRowLastColumn="0" w:lastRowFirstColumn="0" w:lastRowLastColumn="0"/>
            </w:pPr>
          </w:p>
          <w:p w14:paraId="353BFE22" w14:textId="77777777" w:rsidR="00DF3F17" w:rsidRPr="00DF3F17" w:rsidRDefault="00DF3F17" w:rsidP="00614E7D">
            <w:pPr>
              <w:pStyle w:val="Table2"/>
              <w:ind w:left="0" w:firstLine="0"/>
              <w:cnfStyle w:val="000000100000" w:firstRow="0" w:lastRow="0" w:firstColumn="0" w:lastColumn="0" w:oddVBand="0" w:evenVBand="0" w:oddHBand="1" w:evenHBand="0" w:firstRowFirstColumn="0" w:firstRowLastColumn="0" w:lastRowFirstColumn="0" w:lastRowLastColumn="0"/>
            </w:pPr>
            <w:r w:rsidRPr="00DF3F17">
              <w:t>Food Irradiation Watch/Gene Ethics</w:t>
            </w:r>
          </w:p>
          <w:p w14:paraId="599120E3" w14:textId="77777777" w:rsidR="00DF3F17" w:rsidRPr="00DF3F17" w:rsidRDefault="00DF3F17" w:rsidP="00DF3F17">
            <w:pPr>
              <w:pStyle w:val="Table2"/>
              <w:cnfStyle w:val="000000100000" w:firstRow="0" w:lastRow="0" w:firstColumn="0" w:lastColumn="0" w:oddVBand="0" w:evenVBand="0" w:oddHBand="1" w:evenHBand="0" w:firstRowFirstColumn="0" w:firstRowLastColumn="0" w:lastRowFirstColumn="0" w:lastRowLastColumn="0"/>
            </w:pPr>
          </w:p>
          <w:p w14:paraId="2FA789B2" w14:textId="5A22A7EB" w:rsidR="00DF3F17" w:rsidRPr="00DF3F17" w:rsidRDefault="00DF3F17" w:rsidP="00614E7D">
            <w:pPr>
              <w:pStyle w:val="Table2"/>
              <w:ind w:left="0" w:firstLine="0"/>
              <w:cnfStyle w:val="000000100000" w:firstRow="0" w:lastRow="0" w:firstColumn="0" w:lastColumn="0" w:oddVBand="0" w:evenVBand="0" w:oddHBand="1" w:evenHBand="0" w:firstRowFirstColumn="0" w:firstRowLastColumn="0" w:lastRowFirstColumn="0" w:lastRowLastColumn="0"/>
            </w:pPr>
            <w:r w:rsidRPr="00DF3F17">
              <w:t xml:space="preserve">Sustainable </w:t>
            </w:r>
            <w:r w:rsidR="00694476">
              <w:t>A</w:t>
            </w:r>
            <w:r w:rsidRPr="00DF3F17">
              <w:t xml:space="preserve">griculture and </w:t>
            </w:r>
            <w:r w:rsidR="00694476">
              <w:t>C</w:t>
            </w:r>
            <w:r w:rsidRPr="00DF3F17">
              <w:t xml:space="preserve">ommunities </w:t>
            </w:r>
            <w:r w:rsidR="00694476">
              <w:t>A</w:t>
            </w:r>
            <w:r w:rsidRPr="00DF3F17">
              <w:t>lliance (SACA), Victoria</w:t>
            </w:r>
          </w:p>
          <w:p w14:paraId="495A345A" w14:textId="77777777" w:rsidR="00DF3F17" w:rsidRPr="00DF3F17" w:rsidRDefault="00DF3F17" w:rsidP="00DF3F17">
            <w:pPr>
              <w:pStyle w:val="Table2"/>
              <w:cnfStyle w:val="000000100000" w:firstRow="0" w:lastRow="0" w:firstColumn="0" w:lastColumn="0" w:oddVBand="0" w:evenVBand="0" w:oddHBand="1" w:evenHBand="0" w:firstRowFirstColumn="0" w:firstRowLastColumn="0" w:lastRowFirstColumn="0" w:lastRowLastColumn="0"/>
            </w:pPr>
          </w:p>
          <w:p w14:paraId="24972D80" w14:textId="77777777" w:rsidR="00DF3F17" w:rsidRPr="00DF3F17" w:rsidRDefault="00DF3F17" w:rsidP="00DF3F17">
            <w:pPr>
              <w:pStyle w:val="Table2"/>
              <w:cnfStyle w:val="000000100000" w:firstRow="0" w:lastRow="0" w:firstColumn="0" w:lastColumn="0" w:oddVBand="0" w:evenVBand="0" w:oddHBand="1" w:evenHBand="0" w:firstRowFirstColumn="0" w:firstRowLastColumn="0" w:lastRowFirstColumn="0" w:lastRowLastColumn="0"/>
            </w:pPr>
            <w:r w:rsidRPr="00DF3F17">
              <w:t xml:space="preserve">GE Free NZ </w:t>
            </w:r>
          </w:p>
          <w:p w14:paraId="56B941F1" w14:textId="77777777" w:rsidR="00DF3F17" w:rsidRPr="00DF3F17" w:rsidRDefault="00DF3F17" w:rsidP="00DF3F17">
            <w:pPr>
              <w:pStyle w:val="Table2"/>
              <w:cnfStyle w:val="000000100000" w:firstRow="0" w:lastRow="0" w:firstColumn="0" w:lastColumn="0" w:oddVBand="0" w:evenVBand="0" w:oddHBand="1" w:evenHBand="0" w:firstRowFirstColumn="0" w:firstRowLastColumn="0" w:lastRowFirstColumn="0" w:lastRowLastColumn="0"/>
            </w:pPr>
          </w:p>
          <w:p w14:paraId="1C23AE78" w14:textId="77777777" w:rsidR="00DF3F17" w:rsidRPr="00DF3F17" w:rsidRDefault="00DF3F17" w:rsidP="00DF3F17">
            <w:pPr>
              <w:pStyle w:val="Table2"/>
              <w:cnfStyle w:val="000000100000" w:firstRow="0" w:lastRow="0" w:firstColumn="0" w:lastColumn="0" w:oddVBand="0" w:evenVBand="0" w:oddHBand="1" w:evenHBand="0" w:firstRowFirstColumn="0" w:firstRowLastColumn="0" w:lastRowFirstColumn="0" w:lastRowLastColumn="0"/>
            </w:pPr>
            <w:r w:rsidRPr="00DF3F17">
              <w:t>Wiser Equity Pty Ltd</w:t>
            </w:r>
          </w:p>
          <w:p w14:paraId="1FE8E4FF" w14:textId="77777777" w:rsidR="00DF3F17" w:rsidRPr="00DF3F17" w:rsidRDefault="00DF3F17" w:rsidP="00DF3F17">
            <w:pPr>
              <w:pStyle w:val="Table2"/>
              <w:cnfStyle w:val="000000100000" w:firstRow="0" w:lastRow="0" w:firstColumn="0" w:lastColumn="0" w:oddVBand="0" w:evenVBand="0" w:oddHBand="1" w:evenHBand="0" w:firstRowFirstColumn="0" w:firstRowLastColumn="0" w:lastRowFirstColumn="0" w:lastRowLastColumn="0"/>
            </w:pPr>
          </w:p>
          <w:p w14:paraId="5330CEC6" w14:textId="7E105ED8" w:rsidR="00B46DEE" w:rsidRPr="00125194" w:rsidRDefault="00DF3F17" w:rsidP="009F23FB">
            <w:pPr>
              <w:pStyle w:val="Table2"/>
              <w:cnfStyle w:val="000000100000" w:firstRow="0" w:lastRow="0" w:firstColumn="0" w:lastColumn="0" w:oddVBand="0" w:evenVBand="0" w:oddHBand="1" w:evenHBand="0" w:firstRowFirstColumn="0" w:firstRowLastColumn="0" w:lastRowFirstColumn="0" w:lastRowLastColumn="0"/>
            </w:pPr>
            <w:r w:rsidRPr="00DF3F17">
              <w:t>Friends of the Earth NZ</w:t>
            </w:r>
          </w:p>
        </w:tc>
        <w:tc>
          <w:tcPr>
            <w:tcW w:w="6523" w:type="dxa"/>
            <w:tcBorders>
              <w:left w:val="single" w:sz="4" w:space="0" w:color="auto"/>
              <w:bottom w:val="single" w:sz="4" w:space="0" w:color="auto"/>
            </w:tcBorders>
          </w:tcPr>
          <w:p w14:paraId="127972A0" w14:textId="36980274" w:rsidR="00B46DEE" w:rsidRPr="00125194" w:rsidRDefault="00B46DEE" w:rsidP="004E7F22">
            <w:pPr>
              <w:pStyle w:val="Table2"/>
              <w:ind w:left="77" w:firstLine="0"/>
              <w:cnfStyle w:val="000000100000" w:firstRow="0" w:lastRow="0" w:firstColumn="0" w:lastColumn="0" w:oddVBand="0" w:evenVBand="0" w:oddHBand="1" w:evenHBand="0" w:firstRowFirstColumn="0" w:firstRowLastColumn="0" w:lastRowFirstColumn="0" w:lastRowLastColumn="0"/>
            </w:pPr>
            <w:r w:rsidRPr="00E31260">
              <w:t xml:space="preserve">The submitters refer to irradiation of cat food at very high doses (at least 50 times higher than the maximum dose sought by the applicant in the current application) which was found to have toxic effects in cats. The toxicity of highly irradiated cat food to cats was discussed in FSANZ’s previous hazard assessment </w:t>
            </w:r>
            <w:r w:rsidR="004E7F22">
              <w:t>for Application A1092</w:t>
            </w:r>
            <w:r w:rsidRPr="00E31260">
              <w:rPr>
                <w:vertAlign w:val="superscript"/>
              </w:rPr>
              <w:footnoteReference w:id="4"/>
            </w:r>
            <w:r w:rsidRPr="00E31260">
              <w:rPr>
                <w:vertAlign w:val="superscript"/>
              </w:rPr>
              <w:t>.</w:t>
            </w:r>
            <w:r w:rsidRPr="00E31260">
              <w:t>. The toxic effects are specific to cats and are not observed</w:t>
            </w:r>
            <w:r w:rsidR="000A2773">
              <w:t xml:space="preserve"> in other species.</w:t>
            </w:r>
          </w:p>
        </w:tc>
      </w:tr>
      <w:tr w:rsidR="00F6228C" w:rsidRPr="00125194" w14:paraId="614EFD97" w14:textId="77777777" w:rsidTr="00523779">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C2D69B" w:themeFill="accent3" w:themeFillTint="99"/>
          </w:tcPr>
          <w:p w14:paraId="22BD3434" w14:textId="77777777" w:rsidR="00B46DEE" w:rsidRPr="00EB3041" w:rsidRDefault="00B46DEE" w:rsidP="009F23FB">
            <w:pPr>
              <w:pStyle w:val="Table2"/>
              <w:ind w:left="0" w:firstLine="0"/>
              <w:rPr>
                <w:color w:val="FFFFFF" w:themeColor="background1"/>
              </w:rPr>
            </w:pPr>
          </w:p>
        </w:tc>
        <w:tc>
          <w:tcPr>
            <w:tcW w:w="4708" w:type="dxa"/>
            <w:tcBorders>
              <w:bottom w:val="single" w:sz="4" w:space="0" w:color="auto"/>
              <w:right w:val="single" w:sz="4" w:space="0" w:color="auto"/>
            </w:tcBorders>
            <w:shd w:val="clear" w:color="auto" w:fill="C2D69B" w:themeFill="accent3" w:themeFillTint="99"/>
            <w:vAlign w:val="center"/>
          </w:tcPr>
          <w:p w14:paraId="4F887C4A" w14:textId="77777777" w:rsidR="00B46DEE" w:rsidRPr="009B6610" w:rsidRDefault="00B46DEE" w:rsidP="00C77B34">
            <w:pPr>
              <w:pStyle w:val="Table2"/>
              <w:ind w:left="0" w:firstLine="0"/>
              <w:cnfStyle w:val="000000010000" w:firstRow="0" w:lastRow="0" w:firstColumn="0" w:lastColumn="0" w:oddVBand="0" w:evenVBand="0" w:oddHBand="0" w:evenHBand="1" w:firstRowFirstColumn="0" w:firstRowLastColumn="0" w:lastRowFirstColumn="0" w:lastRowLastColumn="0"/>
            </w:pPr>
            <w:r w:rsidRPr="009B6610">
              <w:rPr>
                <w:b/>
              </w:rPr>
              <w:t>Safety – nuclear industry and the environment</w:t>
            </w:r>
          </w:p>
        </w:tc>
        <w:tc>
          <w:tcPr>
            <w:tcW w:w="2112" w:type="dxa"/>
            <w:tcBorders>
              <w:left w:val="single" w:sz="4" w:space="0" w:color="auto"/>
              <w:bottom w:val="single" w:sz="4" w:space="0" w:color="auto"/>
              <w:right w:val="single" w:sz="4" w:space="0" w:color="auto"/>
            </w:tcBorders>
            <w:shd w:val="clear" w:color="auto" w:fill="C2D69B" w:themeFill="accent3" w:themeFillTint="99"/>
          </w:tcPr>
          <w:p w14:paraId="42151513" w14:textId="77777777" w:rsidR="00B46DEE" w:rsidRPr="00EB3041" w:rsidRDefault="00B46DEE" w:rsidP="009F23FB">
            <w:pPr>
              <w:pStyle w:val="Table2"/>
              <w:cnfStyle w:val="000000010000" w:firstRow="0" w:lastRow="0" w:firstColumn="0" w:lastColumn="0" w:oddVBand="0" w:evenVBand="0" w:oddHBand="0" w:evenHBand="1" w:firstRowFirstColumn="0" w:firstRowLastColumn="0" w:lastRowFirstColumn="0" w:lastRowLastColumn="0"/>
              <w:rPr>
                <w:color w:val="FFFFFF" w:themeColor="background1"/>
              </w:rPr>
            </w:pPr>
          </w:p>
        </w:tc>
        <w:tc>
          <w:tcPr>
            <w:tcW w:w="6523" w:type="dxa"/>
            <w:tcBorders>
              <w:left w:val="single" w:sz="4" w:space="0" w:color="auto"/>
              <w:bottom w:val="single" w:sz="4" w:space="0" w:color="auto"/>
            </w:tcBorders>
            <w:shd w:val="clear" w:color="auto" w:fill="C2D69B" w:themeFill="accent3" w:themeFillTint="99"/>
          </w:tcPr>
          <w:p w14:paraId="3DD64CD9" w14:textId="77777777" w:rsidR="00B46DEE" w:rsidRPr="00EB3041" w:rsidRDefault="00B46DEE" w:rsidP="009B6610">
            <w:pPr>
              <w:pStyle w:val="Table2"/>
              <w:ind w:left="77" w:firstLine="0"/>
              <w:cnfStyle w:val="000000010000" w:firstRow="0" w:lastRow="0" w:firstColumn="0" w:lastColumn="0" w:oddVBand="0" w:evenVBand="0" w:oddHBand="0" w:evenHBand="1" w:firstRowFirstColumn="0" w:firstRowLastColumn="0" w:lastRowFirstColumn="0" w:lastRowLastColumn="0"/>
              <w:rPr>
                <w:color w:val="FFFFFF" w:themeColor="background1"/>
              </w:rPr>
            </w:pPr>
          </w:p>
        </w:tc>
      </w:tr>
      <w:tr w:rsidR="00F6228C" w:rsidRPr="00125194" w14:paraId="76311574"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auto"/>
          </w:tcPr>
          <w:p w14:paraId="2E63851D" w14:textId="040C6F82" w:rsidR="00B46DEE" w:rsidRPr="00614E7D" w:rsidRDefault="00614E7D" w:rsidP="00614E7D">
            <w:pPr>
              <w:pStyle w:val="Table2"/>
              <w:ind w:left="0" w:firstLine="0"/>
              <w:jc w:val="center"/>
              <w:rPr>
                <w:b w:val="0"/>
              </w:rPr>
            </w:pPr>
            <w:r w:rsidRPr="00614E7D">
              <w:rPr>
                <w:b w:val="0"/>
              </w:rPr>
              <w:t>5</w:t>
            </w:r>
          </w:p>
        </w:tc>
        <w:tc>
          <w:tcPr>
            <w:tcW w:w="4708" w:type="dxa"/>
            <w:tcBorders>
              <w:bottom w:val="single" w:sz="4" w:space="0" w:color="auto"/>
              <w:right w:val="single" w:sz="4" w:space="0" w:color="auto"/>
            </w:tcBorders>
            <w:shd w:val="clear" w:color="auto" w:fill="auto"/>
          </w:tcPr>
          <w:p w14:paraId="3AF67BA8" w14:textId="77777777" w:rsidR="00B46DEE" w:rsidRPr="001D3A09" w:rsidRDefault="00B46DEE" w:rsidP="009F23FB">
            <w:pPr>
              <w:pStyle w:val="Table2"/>
              <w:ind w:left="0" w:firstLine="0"/>
              <w:cnfStyle w:val="000000100000" w:firstRow="0" w:lastRow="0" w:firstColumn="0" w:lastColumn="0" w:oddVBand="0" w:evenVBand="0" w:oddHBand="1" w:evenHBand="0" w:firstRowFirstColumn="0" w:firstRowLastColumn="0" w:lastRowFirstColumn="0" w:lastRowLastColumn="0"/>
            </w:pPr>
            <w:r w:rsidRPr="001D3A09">
              <w:t xml:space="preserve">Submitters raised a number of issues related to the nuclear industry, noting that food irradiation is a branch of the nuclear industry, and there are inherent safety issues regarding transport, commercial use and workplace health and safety. </w:t>
            </w:r>
            <w:r>
              <w:t xml:space="preserve">Impacts on the environment were also of concern. </w:t>
            </w:r>
            <w:r w:rsidRPr="001D3A09">
              <w:t xml:space="preserve">The depleted radioactive waste must be disposed of in a security-conscious manner. </w:t>
            </w:r>
          </w:p>
        </w:tc>
        <w:tc>
          <w:tcPr>
            <w:tcW w:w="2112" w:type="dxa"/>
            <w:tcBorders>
              <w:left w:val="single" w:sz="4" w:space="0" w:color="auto"/>
              <w:bottom w:val="single" w:sz="4" w:space="0" w:color="auto"/>
              <w:right w:val="single" w:sz="4" w:space="0" w:color="auto"/>
            </w:tcBorders>
            <w:shd w:val="clear" w:color="auto" w:fill="auto"/>
          </w:tcPr>
          <w:p w14:paraId="1CF2B8DF" w14:textId="77777777" w:rsidR="00B46DEE" w:rsidRPr="001D3A09" w:rsidRDefault="00B46DEE" w:rsidP="009F23FB">
            <w:pPr>
              <w:pStyle w:val="Table2"/>
              <w:cnfStyle w:val="000000100000" w:firstRow="0" w:lastRow="0" w:firstColumn="0" w:lastColumn="0" w:oddVBand="0" w:evenVBand="0" w:oddHBand="1" w:evenHBand="0" w:firstRowFirstColumn="0" w:firstRowLastColumn="0" w:lastRowFirstColumn="0" w:lastRowLastColumn="0"/>
            </w:pPr>
            <w:r w:rsidRPr="001D3A09">
              <w:t>Private individuals</w:t>
            </w:r>
          </w:p>
          <w:p w14:paraId="26AAF883" w14:textId="77777777" w:rsidR="00B46DEE" w:rsidRPr="001D3A09" w:rsidRDefault="00B46DEE" w:rsidP="009F23FB">
            <w:pPr>
              <w:pStyle w:val="Table2"/>
              <w:cnfStyle w:val="000000100000" w:firstRow="0" w:lastRow="0" w:firstColumn="0" w:lastColumn="0" w:oddVBand="0" w:evenVBand="0" w:oddHBand="1" w:evenHBand="0" w:firstRowFirstColumn="0" w:firstRowLastColumn="0" w:lastRowFirstColumn="0" w:lastRowLastColumn="0"/>
            </w:pPr>
          </w:p>
          <w:p w14:paraId="080C8798" w14:textId="77777777" w:rsidR="00B46DEE" w:rsidRPr="001D3A09" w:rsidRDefault="00B46DEE" w:rsidP="009F23FB">
            <w:pPr>
              <w:pStyle w:val="Table2"/>
              <w:cnfStyle w:val="000000100000" w:firstRow="0" w:lastRow="0" w:firstColumn="0" w:lastColumn="0" w:oddVBand="0" w:evenVBand="0" w:oddHBand="1" w:evenHBand="0" w:firstRowFirstColumn="0" w:firstRowLastColumn="0" w:lastRowFirstColumn="0" w:lastRowLastColumn="0"/>
            </w:pPr>
            <w:r w:rsidRPr="001D3A09">
              <w:t>Academia</w:t>
            </w:r>
          </w:p>
        </w:tc>
        <w:tc>
          <w:tcPr>
            <w:tcW w:w="6523" w:type="dxa"/>
            <w:tcBorders>
              <w:left w:val="single" w:sz="4" w:space="0" w:color="auto"/>
              <w:bottom w:val="single" w:sz="4" w:space="0" w:color="auto"/>
            </w:tcBorders>
            <w:shd w:val="clear" w:color="auto" w:fill="auto"/>
          </w:tcPr>
          <w:p w14:paraId="63BA8910" w14:textId="77777777" w:rsidR="00B46DEE" w:rsidRDefault="00B46DEE" w:rsidP="009B6610">
            <w:pPr>
              <w:pStyle w:val="Table2"/>
              <w:ind w:left="77" w:firstLine="0"/>
              <w:cnfStyle w:val="000000100000" w:firstRow="0" w:lastRow="0" w:firstColumn="0" w:lastColumn="0" w:oddVBand="0" w:evenVBand="0" w:oddHBand="1" w:evenHBand="0" w:firstRowFirstColumn="0" w:firstRowLastColumn="0" w:lastRowFirstColumn="0" w:lastRowLastColumn="0"/>
            </w:pPr>
            <w:r>
              <w:t xml:space="preserve">Issues concerning the safety of this branch of the nuclear industry, including potential environmental issues, are outside FSANZ’s regulatory mandate and are the responsibility of other agencies’ legislation. These may include the relevant state/territory environment departments, environment protection authorities and the radiation health/safety areas of health departments. </w:t>
            </w:r>
          </w:p>
          <w:p w14:paraId="06292985" w14:textId="77777777" w:rsidR="00B46DEE" w:rsidRDefault="00B46DEE" w:rsidP="009B6610">
            <w:pPr>
              <w:pStyle w:val="Table2"/>
              <w:ind w:left="77" w:firstLine="0"/>
              <w:cnfStyle w:val="000000100000" w:firstRow="0" w:lastRow="0" w:firstColumn="0" w:lastColumn="0" w:oddVBand="0" w:evenVBand="0" w:oddHBand="1" w:evenHBand="0" w:firstRowFirstColumn="0" w:firstRowLastColumn="0" w:lastRowFirstColumn="0" w:lastRowLastColumn="0"/>
            </w:pPr>
          </w:p>
          <w:p w14:paraId="742A8CB5" w14:textId="76E483C8" w:rsidR="00B46DEE" w:rsidRDefault="00523779" w:rsidP="009B6610">
            <w:pPr>
              <w:pStyle w:val="Table2"/>
              <w:ind w:left="77" w:firstLine="0"/>
              <w:cnfStyle w:val="000000100000" w:firstRow="0" w:lastRow="0" w:firstColumn="0" w:lastColumn="0" w:oddVBand="0" w:evenVBand="0" w:oddHBand="1" w:evenHBand="0" w:firstRowFirstColumn="0" w:firstRowLastColumn="0" w:lastRowFirstColumn="0" w:lastRowLastColumn="0"/>
            </w:pPr>
            <w:r>
              <w:t xml:space="preserve">In both Australia and New Zealand, the </w:t>
            </w:r>
            <w:r w:rsidR="00B46DEE">
              <w:t xml:space="preserve">nuclear industry is regulated with strict guidelines and standards on the establishment and routine operation of irradiation facilities, use and storage of radioactive material, and transport and disposal of radioactive material. </w:t>
            </w:r>
          </w:p>
          <w:p w14:paraId="1F650134" w14:textId="77777777" w:rsidR="00523779" w:rsidRDefault="00523779" w:rsidP="009B6610">
            <w:pPr>
              <w:pStyle w:val="Table2"/>
              <w:ind w:left="77" w:firstLine="0"/>
              <w:cnfStyle w:val="000000100000" w:firstRow="0" w:lastRow="0" w:firstColumn="0" w:lastColumn="0" w:oddVBand="0" w:evenVBand="0" w:oddHBand="1" w:evenHBand="0" w:firstRowFirstColumn="0" w:firstRowLastColumn="0" w:lastRowFirstColumn="0" w:lastRowLastColumn="0"/>
            </w:pPr>
          </w:p>
          <w:p w14:paraId="00EBEEB4" w14:textId="77777777" w:rsidR="00B46DEE" w:rsidRPr="001D3A09" w:rsidRDefault="00B46DEE" w:rsidP="009B6610">
            <w:pPr>
              <w:pStyle w:val="Table2"/>
              <w:ind w:left="77" w:firstLine="0"/>
              <w:cnfStyle w:val="000000100000" w:firstRow="0" w:lastRow="0" w:firstColumn="0" w:lastColumn="0" w:oddVBand="0" w:evenVBand="0" w:oddHBand="1" w:evenHBand="0" w:firstRowFirstColumn="0" w:firstRowLastColumn="0" w:lastRowFirstColumn="0" w:lastRowLastColumn="0"/>
            </w:pPr>
            <w:r>
              <w:t xml:space="preserve">In Australia, food irradiation is undertaken using the radionuclide </w:t>
            </w:r>
            <w:r w:rsidRPr="00216C2B">
              <w:rPr>
                <w:vertAlign w:val="superscript"/>
              </w:rPr>
              <w:t>60</w:t>
            </w:r>
            <w:r>
              <w:t xml:space="preserve">Co and, more recently, X-rays. The radionuclide </w:t>
            </w:r>
            <w:r w:rsidRPr="00216C2B">
              <w:rPr>
                <w:vertAlign w:val="superscript"/>
              </w:rPr>
              <w:t>60</w:t>
            </w:r>
            <w:r>
              <w:t>Co source does not produce radioactive waste material but decays over time to produce non-radioactive nickel. The sources can be returned to the supplier for reactivation or reuse in another application.</w:t>
            </w:r>
          </w:p>
        </w:tc>
      </w:tr>
      <w:tr w:rsidR="00F6228C" w:rsidRPr="009B6610" w14:paraId="4F0C0BB4" w14:textId="77777777" w:rsidTr="0052377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5" w:type="dxa"/>
            <w:tcBorders>
              <w:right w:val="single" w:sz="4" w:space="0" w:color="auto"/>
            </w:tcBorders>
            <w:shd w:val="clear" w:color="auto" w:fill="C2D69B" w:themeFill="accent3" w:themeFillTint="99"/>
          </w:tcPr>
          <w:p w14:paraId="5410E778" w14:textId="77777777" w:rsidR="00B46DEE" w:rsidRPr="00614E7D" w:rsidRDefault="00B46DEE" w:rsidP="00614E7D">
            <w:pPr>
              <w:pStyle w:val="Table2"/>
              <w:ind w:left="0" w:firstLine="0"/>
              <w:jc w:val="center"/>
              <w:rPr>
                <w:b w:val="0"/>
                <w:bCs/>
                <w:sz w:val="22"/>
                <w:szCs w:val="22"/>
              </w:rPr>
            </w:pPr>
          </w:p>
        </w:tc>
        <w:tc>
          <w:tcPr>
            <w:tcW w:w="4708" w:type="dxa"/>
            <w:tcBorders>
              <w:right w:val="single" w:sz="4" w:space="0" w:color="auto"/>
            </w:tcBorders>
            <w:shd w:val="clear" w:color="auto" w:fill="C2D69B" w:themeFill="accent3" w:themeFillTint="99"/>
            <w:vAlign w:val="center"/>
          </w:tcPr>
          <w:p w14:paraId="278CD45E" w14:textId="77777777" w:rsidR="00B46DEE" w:rsidRPr="009B6610" w:rsidRDefault="00B46DEE" w:rsidP="009F23FB">
            <w:pPr>
              <w:pStyle w:val="Table2"/>
              <w:ind w:left="0" w:firstLine="0"/>
              <w:cnfStyle w:val="000000010000" w:firstRow="0" w:lastRow="0" w:firstColumn="0" w:lastColumn="0" w:oddVBand="0" w:evenVBand="0" w:oddHBand="0" w:evenHBand="1" w:firstRowFirstColumn="0" w:firstRowLastColumn="0" w:lastRowFirstColumn="0" w:lastRowLastColumn="0"/>
              <w:rPr>
                <w:b/>
                <w:bCs w:val="0"/>
                <w:sz w:val="22"/>
                <w:szCs w:val="22"/>
              </w:rPr>
            </w:pPr>
            <w:r w:rsidRPr="009B6610">
              <w:rPr>
                <w:b/>
                <w:bCs w:val="0"/>
                <w:sz w:val="22"/>
                <w:szCs w:val="22"/>
              </w:rPr>
              <w:t>Nutrition assessment</w:t>
            </w:r>
          </w:p>
        </w:tc>
        <w:tc>
          <w:tcPr>
            <w:tcW w:w="2112" w:type="dxa"/>
            <w:tcBorders>
              <w:left w:val="single" w:sz="4" w:space="0" w:color="auto"/>
              <w:right w:val="single" w:sz="4" w:space="0" w:color="auto"/>
            </w:tcBorders>
            <w:shd w:val="clear" w:color="auto" w:fill="C2D69B" w:themeFill="accent3" w:themeFillTint="99"/>
            <w:vAlign w:val="center"/>
          </w:tcPr>
          <w:p w14:paraId="60BBD198" w14:textId="77777777" w:rsidR="00B46DEE" w:rsidRPr="009B6610" w:rsidRDefault="00B46DEE" w:rsidP="009F23FB">
            <w:pPr>
              <w:pStyle w:val="Table2"/>
              <w:cnfStyle w:val="000000010000" w:firstRow="0" w:lastRow="0" w:firstColumn="0" w:lastColumn="0" w:oddVBand="0" w:evenVBand="0" w:oddHBand="0" w:evenHBand="1" w:firstRowFirstColumn="0" w:firstRowLastColumn="0" w:lastRowFirstColumn="0" w:lastRowLastColumn="0"/>
              <w:rPr>
                <w:b/>
                <w:bCs w:val="0"/>
                <w:sz w:val="22"/>
                <w:szCs w:val="22"/>
              </w:rPr>
            </w:pPr>
          </w:p>
        </w:tc>
        <w:tc>
          <w:tcPr>
            <w:tcW w:w="6523" w:type="dxa"/>
            <w:tcBorders>
              <w:left w:val="single" w:sz="4" w:space="0" w:color="auto"/>
            </w:tcBorders>
            <w:shd w:val="clear" w:color="auto" w:fill="C2D69B" w:themeFill="accent3" w:themeFillTint="99"/>
            <w:vAlign w:val="center"/>
          </w:tcPr>
          <w:p w14:paraId="20649DF2" w14:textId="77777777" w:rsidR="00B46DEE" w:rsidRPr="009B6610" w:rsidRDefault="00B46DEE" w:rsidP="009B6610">
            <w:pPr>
              <w:pStyle w:val="Table2"/>
              <w:ind w:left="77" w:firstLine="0"/>
              <w:cnfStyle w:val="000000010000" w:firstRow="0" w:lastRow="0" w:firstColumn="0" w:lastColumn="0" w:oddVBand="0" w:evenVBand="0" w:oddHBand="0" w:evenHBand="1" w:firstRowFirstColumn="0" w:firstRowLastColumn="0" w:lastRowFirstColumn="0" w:lastRowLastColumn="0"/>
              <w:rPr>
                <w:b/>
                <w:bCs w:val="0"/>
                <w:sz w:val="22"/>
                <w:szCs w:val="22"/>
              </w:rPr>
            </w:pPr>
          </w:p>
        </w:tc>
      </w:tr>
      <w:tr w:rsidR="00F6228C" w:rsidRPr="00125194" w14:paraId="380B3875"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right w:val="single" w:sz="4" w:space="0" w:color="auto"/>
            </w:tcBorders>
          </w:tcPr>
          <w:p w14:paraId="1C29DA79" w14:textId="5939AD73" w:rsidR="00B46DEE" w:rsidRPr="00614E7D" w:rsidRDefault="00614E7D" w:rsidP="00614E7D">
            <w:pPr>
              <w:jc w:val="center"/>
              <w:rPr>
                <w:b w:val="0"/>
                <w:sz w:val="18"/>
                <w:szCs w:val="20"/>
              </w:rPr>
            </w:pPr>
            <w:r w:rsidRPr="00614E7D">
              <w:rPr>
                <w:b w:val="0"/>
                <w:sz w:val="18"/>
                <w:szCs w:val="20"/>
              </w:rPr>
              <w:t>6</w:t>
            </w:r>
          </w:p>
        </w:tc>
        <w:tc>
          <w:tcPr>
            <w:tcW w:w="4708" w:type="dxa"/>
            <w:tcBorders>
              <w:right w:val="single" w:sz="4" w:space="0" w:color="auto"/>
            </w:tcBorders>
          </w:tcPr>
          <w:p w14:paraId="0CAF24E2" w14:textId="25F4E3D2" w:rsidR="00B46DEE" w:rsidRPr="00B97010" w:rsidRDefault="00B46DEE" w:rsidP="009F23FB">
            <w:pPr>
              <w:cnfStyle w:val="000000100000" w:firstRow="0" w:lastRow="0" w:firstColumn="0" w:lastColumn="0" w:oddVBand="0" w:evenVBand="0" w:oddHBand="1" w:evenHBand="0" w:firstRowFirstColumn="0" w:firstRowLastColumn="0" w:lastRowFirstColumn="0" w:lastRowLastColumn="0"/>
              <w:rPr>
                <w:sz w:val="18"/>
                <w:szCs w:val="20"/>
              </w:rPr>
            </w:pPr>
            <w:r>
              <w:rPr>
                <w:sz w:val="18"/>
                <w:szCs w:val="20"/>
              </w:rPr>
              <w:t>Submitters expressed concerns about the effect of irradiation on the nutrient content of foods</w:t>
            </w:r>
            <w:r w:rsidR="00FC5C79">
              <w:rPr>
                <w:sz w:val="18"/>
                <w:szCs w:val="20"/>
              </w:rPr>
              <w:t>.</w:t>
            </w:r>
          </w:p>
        </w:tc>
        <w:tc>
          <w:tcPr>
            <w:tcW w:w="2112" w:type="dxa"/>
            <w:tcBorders>
              <w:left w:val="single" w:sz="4" w:space="0" w:color="auto"/>
              <w:right w:val="single" w:sz="4" w:space="0" w:color="auto"/>
            </w:tcBorders>
          </w:tcPr>
          <w:p w14:paraId="76205FB5" w14:textId="77777777" w:rsidR="00CE3B79" w:rsidRPr="00CE3B79" w:rsidRDefault="00CE3B79" w:rsidP="00CE3B79">
            <w:pPr>
              <w:pStyle w:val="Table2"/>
              <w:cnfStyle w:val="000000100000" w:firstRow="0" w:lastRow="0" w:firstColumn="0" w:lastColumn="0" w:oddVBand="0" w:evenVBand="0" w:oddHBand="1" w:evenHBand="0" w:firstRowFirstColumn="0" w:firstRowLastColumn="0" w:lastRowFirstColumn="0" w:lastRowLastColumn="0"/>
            </w:pPr>
            <w:r w:rsidRPr="00CE3B79">
              <w:t>Academia</w:t>
            </w:r>
          </w:p>
          <w:p w14:paraId="53049D1C" w14:textId="77777777" w:rsidR="00CE3B79" w:rsidRPr="00CE3B79" w:rsidRDefault="00CE3B79" w:rsidP="00CE3B79">
            <w:pPr>
              <w:pStyle w:val="Table2"/>
              <w:cnfStyle w:val="000000100000" w:firstRow="0" w:lastRow="0" w:firstColumn="0" w:lastColumn="0" w:oddVBand="0" w:evenVBand="0" w:oddHBand="1" w:evenHBand="0" w:firstRowFirstColumn="0" w:firstRowLastColumn="0" w:lastRowFirstColumn="0" w:lastRowLastColumn="0"/>
            </w:pPr>
          </w:p>
          <w:p w14:paraId="730C2CD6" w14:textId="77777777" w:rsidR="00CE3B79" w:rsidRPr="00CE3B79" w:rsidRDefault="00CE3B79" w:rsidP="00CE3B79">
            <w:pPr>
              <w:pStyle w:val="Table2"/>
              <w:cnfStyle w:val="000000100000" w:firstRow="0" w:lastRow="0" w:firstColumn="0" w:lastColumn="0" w:oddVBand="0" w:evenVBand="0" w:oddHBand="1" w:evenHBand="0" w:firstRowFirstColumn="0" w:firstRowLastColumn="0" w:lastRowFirstColumn="0" w:lastRowLastColumn="0"/>
            </w:pPr>
            <w:r w:rsidRPr="00CE3B79">
              <w:t>Private individuals</w:t>
            </w:r>
          </w:p>
          <w:p w14:paraId="3520FCA3" w14:textId="77777777" w:rsidR="00CE3B79" w:rsidRPr="00CE3B79" w:rsidRDefault="00CE3B79" w:rsidP="00CE3B79">
            <w:pPr>
              <w:pStyle w:val="Table2"/>
              <w:cnfStyle w:val="000000100000" w:firstRow="0" w:lastRow="0" w:firstColumn="0" w:lastColumn="0" w:oddVBand="0" w:evenVBand="0" w:oddHBand="1" w:evenHBand="0" w:firstRowFirstColumn="0" w:firstRowLastColumn="0" w:lastRowFirstColumn="0" w:lastRowLastColumn="0"/>
            </w:pPr>
          </w:p>
          <w:p w14:paraId="4D88CC76" w14:textId="2D32F96C" w:rsidR="00CE3B79" w:rsidRDefault="00CE3B79" w:rsidP="00614E7D">
            <w:pPr>
              <w:pStyle w:val="Table2"/>
              <w:ind w:left="0" w:firstLine="0"/>
              <w:cnfStyle w:val="000000100000" w:firstRow="0" w:lastRow="0" w:firstColumn="0" w:lastColumn="0" w:oddVBand="0" w:evenVBand="0" w:oddHBand="1" w:evenHBand="0" w:firstRowFirstColumn="0" w:firstRowLastColumn="0" w:lastRowFirstColumn="0" w:lastRowLastColumn="0"/>
            </w:pPr>
            <w:r w:rsidRPr="00CE3B79">
              <w:t>Fo</w:t>
            </w:r>
            <w:r w:rsidR="004E7F22">
              <w:t>od Irradiation Watch/Gene Ethics</w:t>
            </w:r>
          </w:p>
          <w:p w14:paraId="1797614E" w14:textId="77777777" w:rsidR="004E7F22" w:rsidRDefault="004E7F22" w:rsidP="00614E7D">
            <w:pPr>
              <w:pStyle w:val="Table2"/>
              <w:ind w:left="0" w:firstLine="0"/>
              <w:cnfStyle w:val="000000100000" w:firstRow="0" w:lastRow="0" w:firstColumn="0" w:lastColumn="0" w:oddVBand="0" w:evenVBand="0" w:oddHBand="1" w:evenHBand="0" w:firstRowFirstColumn="0" w:firstRowLastColumn="0" w:lastRowFirstColumn="0" w:lastRowLastColumn="0"/>
            </w:pPr>
          </w:p>
          <w:p w14:paraId="4A8C7C36" w14:textId="08146A4C" w:rsidR="00CE3B79" w:rsidRDefault="00CE3B79" w:rsidP="00614E7D">
            <w:pPr>
              <w:pStyle w:val="Table2"/>
              <w:ind w:left="0" w:firstLine="0"/>
              <w:cnfStyle w:val="000000100000" w:firstRow="0" w:lastRow="0" w:firstColumn="0" w:lastColumn="0" w:oddVBand="0" w:evenVBand="0" w:oddHBand="1" w:evenHBand="0" w:firstRowFirstColumn="0" w:firstRowLastColumn="0" w:lastRowFirstColumn="0" w:lastRowLastColumn="0"/>
            </w:pPr>
            <w:r w:rsidRPr="00CE3B79">
              <w:t xml:space="preserve">Sustainable </w:t>
            </w:r>
            <w:r w:rsidR="00694476">
              <w:t>A</w:t>
            </w:r>
            <w:r w:rsidRPr="00CE3B79">
              <w:t xml:space="preserve">griculture and </w:t>
            </w:r>
            <w:r w:rsidR="00694476">
              <w:t>C</w:t>
            </w:r>
            <w:r w:rsidRPr="00CE3B79">
              <w:t xml:space="preserve">ommunities </w:t>
            </w:r>
            <w:r w:rsidR="00694476">
              <w:t>A</w:t>
            </w:r>
            <w:r w:rsidRPr="00CE3B79">
              <w:t>lliance (SACA)</w:t>
            </w:r>
            <w:r w:rsidR="00694476">
              <w:t xml:space="preserve">, </w:t>
            </w:r>
            <w:r w:rsidRPr="00CE3B79">
              <w:t>Victoria</w:t>
            </w:r>
          </w:p>
          <w:p w14:paraId="41B77D6B" w14:textId="77777777" w:rsidR="00CE3B79" w:rsidRPr="00CE3B79" w:rsidRDefault="00CE3B79" w:rsidP="00CE3B79">
            <w:pPr>
              <w:pStyle w:val="Table2"/>
              <w:cnfStyle w:val="000000100000" w:firstRow="0" w:lastRow="0" w:firstColumn="0" w:lastColumn="0" w:oddVBand="0" w:evenVBand="0" w:oddHBand="1" w:evenHBand="0" w:firstRowFirstColumn="0" w:firstRowLastColumn="0" w:lastRowFirstColumn="0" w:lastRowLastColumn="0"/>
            </w:pPr>
          </w:p>
          <w:p w14:paraId="13F9CA0B" w14:textId="50BDB817" w:rsidR="00CE3B79" w:rsidRDefault="00CE3B79" w:rsidP="00CE3B79">
            <w:pPr>
              <w:pStyle w:val="Table2"/>
              <w:cnfStyle w:val="000000100000" w:firstRow="0" w:lastRow="0" w:firstColumn="0" w:lastColumn="0" w:oddVBand="0" w:evenVBand="0" w:oddHBand="1" w:evenHBand="0" w:firstRowFirstColumn="0" w:firstRowLastColumn="0" w:lastRowFirstColumn="0" w:lastRowLastColumn="0"/>
            </w:pPr>
            <w:r>
              <w:t>GE Free NZ</w:t>
            </w:r>
          </w:p>
          <w:p w14:paraId="194C373B" w14:textId="5F048776" w:rsidR="00CE3B79" w:rsidRDefault="00CE3B79" w:rsidP="00CE3B79">
            <w:pPr>
              <w:pStyle w:val="Table2"/>
              <w:cnfStyle w:val="000000100000" w:firstRow="0" w:lastRow="0" w:firstColumn="0" w:lastColumn="0" w:oddVBand="0" w:evenVBand="0" w:oddHBand="1" w:evenHBand="0" w:firstRowFirstColumn="0" w:firstRowLastColumn="0" w:lastRowFirstColumn="0" w:lastRowLastColumn="0"/>
            </w:pPr>
          </w:p>
          <w:p w14:paraId="4BCDAE4E" w14:textId="547C9E6C" w:rsidR="00CE3B79" w:rsidRDefault="00CE3B79" w:rsidP="00CE3B79">
            <w:pPr>
              <w:pStyle w:val="Table2"/>
              <w:cnfStyle w:val="000000100000" w:firstRow="0" w:lastRow="0" w:firstColumn="0" w:lastColumn="0" w:oddVBand="0" w:evenVBand="0" w:oddHBand="1" w:evenHBand="0" w:firstRowFirstColumn="0" w:firstRowLastColumn="0" w:lastRowFirstColumn="0" w:lastRowLastColumn="0"/>
            </w:pPr>
            <w:r>
              <w:t>Wiser Equity Pty Ltd</w:t>
            </w:r>
          </w:p>
          <w:p w14:paraId="4BD67E82" w14:textId="1425515C" w:rsidR="00CE3B79" w:rsidRDefault="00CE3B79" w:rsidP="00CE3B79">
            <w:pPr>
              <w:pStyle w:val="Table2"/>
              <w:cnfStyle w:val="000000100000" w:firstRow="0" w:lastRow="0" w:firstColumn="0" w:lastColumn="0" w:oddVBand="0" w:evenVBand="0" w:oddHBand="1" w:evenHBand="0" w:firstRowFirstColumn="0" w:firstRowLastColumn="0" w:lastRowFirstColumn="0" w:lastRowLastColumn="0"/>
            </w:pPr>
          </w:p>
          <w:p w14:paraId="76AEF0DD" w14:textId="2B406FB7" w:rsidR="00CE3B79" w:rsidRPr="00CE3B79" w:rsidRDefault="00CE3B79" w:rsidP="00CE3B79">
            <w:pPr>
              <w:pStyle w:val="Table2"/>
              <w:cnfStyle w:val="000000100000" w:firstRow="0" w:lastRow="0" w:firstColumn="0" w:lastColumn="0" w:oddVBand="0" w:evenVBand="0" w:oddHBand="1" w:evenHBand="0" w:firstRowFirstColumn="0" w:firstRowLastColumn="0" w:lastRowFirstColumn="0" w:lastRowLastColumn="0"/>
            </w:pPr>
            <w:r w:rsidRPr="00B0392D">
              <w:t>GE Free Northland</w:t>
            </w:r>
          </w:p>
          <w:p w14:paraId="3626AC2C" w14:textId="77777777" w:rsidR="00B46DEE" w:rsidRPr="00125194" w:rsidRDefault="00B46DEE" w:rsidP="009F23FB">
            <w:pPr>
              <w:pStyle w:val="Table2"/>
              <w:cnfStyle w:val="000000100000" w:firstRow="0" w:lastRow="0" w:firstColumn="0" w:lastColumn="0" w:oddVBand="0" w:evenVBand="0" w:oddHBand="1" w:evenHBand="0" w:firstRowFirstColumn="0" w:firstRowLastColumn="0" w:lastRowFirstColumn="0" w:lastRowLastColumn="0"/>
            </w:pPr>
          </w:p>
        </w:tc>
        <w:tc>
          <w:tcPr>
            <w:tcW w:w="6523" w:type="dxa"/>
            <w:tcBorders>
              <w:left w:val="single" w:sz="4" w:space="0" w:color="auto"/>
            </w:tcBorders>
          </w:tcPr>
          <w:p w14:paraId="04A7E510" w14:textId="2E7298D4" w:rsidR="00B46DEE" w:rsidRPr="00125194" w:rsidRDefault="00B46DEE" w:rsidP="004E7F22">
            <w:pPr>
              <w:pStyle w:val="Table2"/>
              <w:ind w:left="77" w:firstLine="0"/>
              <w:cnfStyle w:val="000000100000" w:firstRow="0" w:lastRow="0" w:firstColumn="0" w:lastColumn="0" w:oddVBand="0" w:evenVBand="0" w:oddHBand="1" w:evenHBand="0" w:firstRowFirstColumn="0" w:firstRowLastColumn="0" w:lastRowFirstColumn="0" w:lastRowLastColumn="0"/>
            </w:pPr>
            <w:r>
              <w:t xml:space="preserve">The effect </w:t>
            </w:r>
            <w:r w:rsidRPr="00812DAA">
              <w:t xml:space="preserve">of irradiation on </w:t>
            </w:r>
            <w:r w:rsidR="00B37329">
              <w:t>nutrients</w:t>
            </w:r>
            <w:r w:rsidR="00B37329" w:rsidRPr="00812DAA">
              <w:t xml:space="preserve"> </w:t>
            </w:r>
            <w:r w:rsidRPr="00812DAA">
              <w:t xml:space="preserve">has been </w:t>
            </w:r>
            <w:r>
              <w:t>addressed in Section 4 of</w:t>
            </w:r>
            <w:r w:rsidRPr="00812DAA">
              <w:t xml:space="preserve"> SD1. </w:t>
            </w:r>
            <w:r>
              <w:t xml:space="preserve">The </w:t>
            </w:r>
            <w:r>
              <w:rPr>
                <w:lang w:val="mi-NZ"/>
              </w:rPr>
              <w:t xml:space="preserve">FSANZ risk assessment (SD1) focussed </w:t>
            </w:r>
            <w:r w:rsidR="00B37329">
              <w:rPr>
                <w:lang w:val="mi-NZ"/>
              </w:rPr>
              <w:t xml:space="preserve">mainly </w:t>
            </w:r>
            <w:r>
              <w:rPr>
                <w:lang w:val="mi-NZ"/>
              </w:rPr>
              <w:t xml:space="preserve">on </w:t>
            </w:r>
            <w:r w:rsidRPr="00D17329">
              <w:rPr>
                <w:lang w:val="mi-NZ"/>
              </w:rPr>
              <w:t>vitamin C and β-carotene</w:t>
            </w:r>
            <w:r>
              <w:rPr>
                <w:lang w:val="mi-NZ"/>
              </w:rPr>
              <w:t xml:space="preserve"> as these vitamins are most likely to be affected by irradiation, and fruit and vegetables are important sources of these nutrients in the diet. </w:t>
            </w:r>
            <w:r w:rsidRPr="00381FD4">
              <w:rPr>
                <w:lang w:val="mi-NZ"/>
              </w:rPr>
              <w:t>The weight of evidence which has been reviewed and evaluated by FSANZ</w:t>
            </w:r>
            <w:r>
              <w:rPr>
                <w:lang w:val="mi-NZ"/>
              </w:rPr>
              <w:t xml:space="preserve"> in this application (as well as in previous </w:t>
            </w:r>
            <w:r w:rsidRPr="00381FD4">
              <w:rPr>
                <w:lang w:val="mi-NZ"/>
              </w:rPr>
              <w:t>applications</w:t>
            </w:r>
            <w:r w:rsidR="00704AAD">
              <w:rPr>
                <w:lang w:val="mi-NZ"/>
              </w:rPr>
              <w:t xml:space="preserve"> and FSANZ’s 2014 </w:t>
            </w:r>
            <w:r w:rsidR="005100C6">
              <w:rPr>
                <w:lang w:val="mi-NZ"/>
              </w:rPr>
              <w:t>r</w:t>
            </w:r>
            <w:r w:rsidR="00704AAD">
              <w:rPr>
                <w:lang w:val="mi-NZ"/>
              </w:rPr>
              <w:t>eview</w:t>
            </w:r>
            <w:r>
              <w:rPr>
                <w:lang w:val="mi-NZ"/>
              </w:rPr>
              <w:t xml:space="preserve">) indicates </w:t>
            </w:r>
            <w:r w:rsidRPr="00381FD4">
              <w:rPr>
                <w:lang w:val="mi-NZ"/>
              </w:rPr>
              <w:t>that losses of vitamin C and β-carotene in fruit and vegetables that are irradiated are small</w:t>
            </w:r>
            <w:r>
              <w:rPr>
                <w:lang w:val="mi-NZ"/>
              </w:rPr>
              <w:t xml:space="preserve">.  </w:t>
            </w:r>
          </w:p>
        </w:tc>
      </w:tr>
      <w:tr w:rsidR="00F6228C" w:rsidRPr="00125194" w14:paraId="0397DFC9" w14:textId="77777777" w:rsidTr="00523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tcPr>
          <w:p w14:paraId="2181A956" w14:textId="52CFC317" w:rsidR="00B46DEE" w:rsidRPr="00614E7D" w:rsidRDefault="00614E7D" w:rsidP="00614E7D">
            <w:pPr>
              <w:jc w:val="center"/>
              <w:rPr>
                <w:b w:val="0"/>
                <w:sz w:val="18"/>
                <w:szCs w:val="20"/>
              </w:rPr>
            </w:pPr>
            <w:r w:rsidRPr="00614E7D">
              <w:rPr>
                <w:b w:val="0"/>
                <w:sz w:val="18"/>
                <w:szCs w:val="20"/>
              </w:rPr>
              <w:t>7</w:t>
            </w:r>
          </w:p>
        </w:tc>
        <w:tc>
          <w:tcPr>
            <w:tcW w:w="4708" w:type="dxa"/>
            <w:tcBorders>
              <w:bottom w:val="single" w:sz="4" w:space="0" w:color="auto"/>
              <w:right w:val="single" w:sz="4" w:space="0" w:color="auto"/>
            </w:tcBorders>
          </w:tcPr>
          <w:p w14:paraId="064A1100" w14:textId="77777777" w:rsidR="00B46DEE" w:rsidRPr="00B97010" w:rsidRDefault="00B46DEE" w:rsidP="009F23FB">
            <w:pPr>
              <w:cnfStyle w:val="000000010000" w:firstRow="0" w:lastRow="0" w:firstColumn="0" w:lastColumn="0" w:oddVBand="0" w:evenVBand="0" w:oddHBand="0" w:evenHBand="1" w:firstRowFirstColumn="0" w:firstRowLastColumn="0" w:lastRowFirstColumn="0" w:lastRowLastColumn="0"/>
              <w:rPr>
                <w:sz w:val="18"/>
                <w:szCs w:val="20"/>
              </w:rPr>
            </w:pPr>
            <w:r>
              <w:rPr>
                <w:sz w:val="18"/>
                <w:szCs w:val="20"/>
              </w:rPr>
              <w:t>Submitters expressed concerns about uncertainty in evidence about impact of irradiation on nutrient losses.</w:t>
            </w:r>
          </w:p>
        </w:tc>
        <w:tc>
          <w:tcPr>
            <w:tcW w:w="2112" w:type="dxa"/>
            <w:tcBorders>
              <w:left w:val="single" w:sz="4" w:space="0" w:color="auto"/>
              <w:bottom w:val="single" w:sz="4" w:space="0" w:color="auto"/>
              <w:right w:val="single" w:sz="4" w:space="0" w:color="auto"/>
            </w:tcBorders>
          </w:tcPr>
          <w:p w14:paraId="627AEEC9" w14:textId="697CA250" w:rsidR="00B46DEE" w:rsidRPr="00125194" w:rsidRDefault="00CE3B79" w:rsidP="009F23FB">
            <w:pPr>
              <w:pStyle w:val="Table2"/>
              <w:cnfStyle w:val="000000010000" w:firstRow="0" w:lastRow="0" w:firstColumn="0" w:lastColumn="0" w:oddVBand="0" w:evenVBand="0" w:oddHBand="0" w:evenHBand="1" w:firstRowFirstColumn="0" w:firstRowLastColumn="0" w:lastRowFirstColumn="0" w:lastRowLastColumn="0"/>
            </w:pPr>
            <w:r>
              <w:t>As above</w:t>
            </w:r>
          </w:p>
        </w:tc>
        <w:tc>
          <w:tcPr>
            <w:tcW w:w="6523" w:type="dxa"/>
            <w:tcBorders>
              <w:left w:val="single" w:sz="4" w:space="0" w:color="auto"/>
              <w:bottom w:val="single" w:sz="4" w:space="0" w:color="auto"/>
            </w:tcBorders>
          </w:tcPr>
          <w:p w14:paraId="2127814B" w14:textId="7EED3FAB" w:rsidR="00B46DEE" w:rsidRDefault="00B46DEE" w:rsidP="00C410D8">
            <w:pPr>
              <w:pStyle w:val="Table2"/>
              <w:ind w:left="77" w:firstLine="0"/>
              <w:cnfStyle w:val="000000010000" w:firstRow="0" w:lastRow="0" w:firstColumn="0" w:lastColumn="0" w:oddVBand="0" w:evenVBand="0" w:oddHBand="0" w:evenHBand="1" w:firstRowFirstColumn="0" w:firstRowLastColumn="0" w:lastRowFirstColumn="0" w:lastRowLastColumn="0"/>
            </w:pPr>
            <w:r>
              <w:t>FSANZ has indicated in SD1 where there was limited data on the effect of irradiation on nutrient content (e.g. vitamin E</w:t>
            </w:r>
            <w:r w:rsidR="000615F1">
              <w:t xml:space="preserve"> and </w:t>
            </w:r>
            <w:r w:rsidR="005100C6">
              <w:t>thiamin)</w:t>
            </w:r>
            <w:r>
              <w:t xml:space="preserve">. </w:t>
            </w:r>
            <w:r w:rsidR="000615F1">
              <w:t xml:space="preserve">In cases where data on irradiation-sensitive vitamins </w:t>
            </w:r>
            <w:r w:rsidR="00C410D8">
              <w:t>was</w:t>
            </w:r>
            <w:r w:rsidR="000615F1">
              <w:t xml:space="preserve"> unavailable FSANZ noted that fruit and vegetables only </w:t>
            </w:r>
            <w:r w:rsidR="00DD48AC">
              <w:t>make</w:t>
            </w:r>
            <w:r w:rsidR="000615F1">
              <w:t xml:space="preserve"> a relatively small contribution to population intakes of these nutrients</w:t>
            </w:r>
            <w:r w:rsidR="00CE27D5">
              <w:t xml:space="preserve"> and there are other food groups that are important dietary sources</w:t>
            </w:r>
            <w:r w:rsidR="000615F1">
              <w:t>.</w:t>
            </w:r>
            <w:r>
              <w:t xml:space="preserve"> </w:t>
            </w:r>
            <w:r w:rsidRPr="00ED7052">
              <w:t xml:space="preserve">Where nutrient losses due to irradiation were found in specific commodities, these </w:t>
            </w:r>
            <w:r w:rsidRPr="00ED7052">
              <w:lastRenderedPageBreak/>
              <w:t>contributed only small amounts to total dietary intakes.</w:t>
            </w:r>
            <w:r>
              <w:t xml:space="preserve"> Specific comments related to nutrition issues are provided in </w:t>
            </w:r>
            <w:r w:rsidR="00AF38B0">
              <w:fldChar w:fldCharType="begin"/>
            </w:r>
            <w:r w:rsidR="00AF38B0">
              <w:instrText xml:space="preserve"> REF _Ref65681610 \h </w:instrText>
            </w:r>
            <w:r w:rsidR="00614E7D">
              <w:instrText xml:space="preserve"> \* MERGEFORMAT </w:instrText>
            </w:r>
            <w:r w:rsidR="00AF38B0">
              <w:fldChar w:fldCharType="separate"/>
            </w:r>
            <w:r w:rsidR="00A67B9C">
              <w:t xml:space="preserve">Appendix </w:t>
            </w:r>
            <w:r w:rsidR="00A67B9C">
              <w:rPr>
                <w:noProof/>
              </w:rPr>
              <w:t>2</w:t>
            </w:r>
            <w:r w:rsidR="00AF38B0">
              <w:fldChar w:fldCharType="end"/>
            </w:r>
            <w:r>
              <w:t xml:space="preserve"> (</w:t>
            </w:r>
            <w:r w:rsidRPr="008C78AA">
              <w:t xml:space="preserve">see </w:t>
            </w:r>
            <w:r w:rsidR="008C78AA">
              <w:t>nos.</w:t>
            </w:r>
            <w:r w:rsidRPr="008C78AA">
              <w:t xml:space="preserve"> 2</w:t>
            </w:r>
            <w:r w:rsidR="008C78AA" w:rsidRPr="008C78AA">
              <w:t>6</w:t>
            </w:r>
            <w:r w:rsidRPr="008C78AA">
              <w:t xml:space="preserve"> – </w:t>
            </w:r>
            <w:r w:rsidR="008C78AA" w:rsidRPr="008C78AA">
              <w:t>46</w:t>
            </w:r>
            <w:r w:rsidRPr="00B44BE8">
              <w:t>)</w:t>
            </w:r>
            <w:r w:rsidR="00DD48AC">
              <w:t>.</w:t>
            </w:r>
            <w:r>
              <w:t xml:space="preserve"> </w:t>
            </w:r>
            <w:r w:rsidR="000615F1">
              <w:t xml:space="preserve">Therefore we reiterate the conclusion that </w:t>
            </w:r>
            <w:r w:rsidR="000615F1" w:rsidRPr="00ED7052">
              <w:t>based on the available evidence the effect of irradiation on the nutritional quality of fruit and vegetables is likely to be low.</w:t>
            </w:r>
          </w:p>
        </w:tc>
      </w:tr>
      <w:tr w:rsidR="00F6228C" w:rsidRPr="00125194" w14:paraId="7D891581"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right w:val="single" w:sz="4" w:space="0" w:color="auto"/>
            </w:tcBorders>
            <w:shd w:val="clear" w:color="auto" w:fill="E6EED5"/>
          </w:tcPr>
          <w:p w14:paraId="7470C4B5" w14:textId="476FBAB3" w:rsidR="00B46DEE" w:rsidRDefault="00614E7D" w:rsidP="00614E7D">
            <w:pPr>
              <w:jc w:val="center"/>
              <w:rPr>
                <w:b w:val="0"/>
                <w:sz w:val="18"/>
                <w:szCs w:val="20"/>
              </w:rPr>
            </w:pPr>
            <w:r>
              <w:rPr>
                <w:b w:val="0"/>
                <w:sz w:val="18"/>
                <w:szCs w:val="20"/>
              </w:rPr>
              <w:lastRenderedPageBreak/>
              <w:t>8</w:t>
            </w:r>
          </w:p>
        </w:tc>
        <w:tc>
          <w:tcPr>
            <w:tcW w:w="4708" w:type="dxa"/>
            <w:tcBorders>
              <w:right w:val="single" w:sz="4" w:space="0" w:color="auto"/>
            </w:tcBorders>
            <w:shd w:val="clear" w:color="auto" w:fill="E6EED5"/>
          </w:tcPr>
          <w:p w14:paraId="253757C8" w14:textId="7320A0C4" w:rsidR="00B46DEE" w:rsidRPr="00B97010" w:rsidRDefault="00B46DEE" w:rsidP="009F23FB">
            <w:pPr>
              <w:cnfStyle w:val="000000100000" w:firstRow="0" w:lastRow="0" w:firstColumn="0" w:lastColumn="0" w:oddVBand="0" w:evenVBand="0" w:oddHBand="1" w:evenHBand="0" w:firstRowFirstColumn="0" w:firstRowLastColumn="0" w:lastRowFirstColumn="0" w:lastRowLastColumn="0"/>
              <w:rPr>
                <w:sz w:val="18"/>
                <w:szCs w:val="20"/>
              </w:rPr>
            </w:pPr>
            <w:r>
              <w:rPr>
                <w:sz w:val="18"/>
                <w:szCs w:val="20"/>
              </w:rPr>
              <w:t>Submitters were concerned that the amount of irradiated fruit and vegetables that are available for consumption will increase substantially</w:t>
            </w:r>
            <w:r w:rsidR="00DD48AC">
              <w:rPr>
                <w:sz w:val="18"/>
                <w:szCs w:val="20"/>
              </w:rPr>
              <w:t xml:space="preserve"> following approval of this application,</w:t>
            </w:r>
            <w:r>
              <w:rPr>
                <w:sz w:val="18"/>
                <w:szCs w:val="20"/>
              </w:rPr>
              <w:t xml:space="preserve"> thus affecting nutrient intakes.</w:t>
            </w:r>
          </w:p>
        </w:tc>
        <w:tc>
          <w:tcPr>
            <w:tcW w:w="2112" w:type="dxa"/>
            <w:tcBorders>
              <w:left w:val="single" w:sz="4" w:space="0" w:color="auto"/>
              <w:right w:val="single" w:sz="4" w:space="0" w:color="auto"/>
            </w:tcBorders>
            <w:shd w:val="clear" w:color="auto" w:fill="E6EED5"/>
          </w:tcPr>
          <w:p w14:paraId="572F493B" w14:textId="6DA7800D" w:rsidR="00B46DEE" w:rsidRPr="00125194" w:rsidRDefault="00CE3B79" w:rsidP="009F23FB">
            <w:pPr>
              <w:pStyle w:val="Table2"/>
              <w:cnfStyle w:val="000000100000" w:firstRow="0" w:lastRow="0" w:firstColumn="0" w:lastColumn="0" w:oddVBand="0" w:evenVBand="0" w:oddHBand="1" w:evenHBand="0" w:firstRowFirstColumn="0" w:firstRowLastColumn="0" w:lastRowFirstColumn="0" w:lastRowLastColumn="0"/>
            </w:pPr>
            <w:r>
              <w:t>As above</w:t>
            </w:r>
          </w:p>
        </w:tc>
        <w:tc>
          <w:tcPr>
            <w:tcW w:w="6523" w:type="dxa"/>
            <w:tcBorders>
              <w:left w:val="single" w:sz="4" w:space="0" w:color="auto"/>
            </w:tcBorders>
            <w:shd w:val="clear" w:color="auto" w:fill="E6EED5"/>
          </w:tcPr>
          <w:p w14:paraId="6B5D7087" w14:textId="6980CB2C" w:rsidR="00686D47" w:rsidRDefault="00686D47" w:rsidP="00686D47">
            <w:pPr>
              <w:pStyle w:val="Table2"/>
              <w:ind w:left="73" w:firstLine="0"/>
              <w:cnfStyle w:val="000000100000" w:firstRow="0" w:lastRow="0" w:firstColumn="0" w:lastColumn="0" w:oddVBand="0" w:evenVBand="0" w:oddHBand="1" w:evenHBand="0" w:firstRowFirstColumn="0" w:firstRowLastColumn="0" w:lastRowFirstColumn="0" w:lastRowLastColumn="0"/>
            </w:pPr>
            <w:r>
              <w:t xml:space="preserve">Irradiation will remain a voluntary measure that can only be used for phytosanitary purposes. It also remains one of several phytosanitary treatment options available, and it would only be used for fresh fruit and vegetables that are being transported from one quarantine region into another. </w:t>
            </w:r>
            <w:r w:rsidR="002D0E8D">
              <w:t xml:space="preserve">There are constraints to a substantial increase in the use of phytosanitary irradiation – such as cost, capacity, consumer acceptance and supply chain logistics. </w:t>
            </w:r>
            <w:r w:rsidR="007042C0" w:rsidRPr="007042C0">
              <w:t xml:space="preserve">The </w:t>
            </w:r>
            <w:r w:rsidR="007042C0">
              <w:t>applicant has</w:t>
            </w:r>
            <w:r w:rsidR="007042C0" w:rsidRPr="007042C0">
              <w:t xml:space="preserve"> provided conservative estimates that between 0.3 – 8% of total fruit and vegetables consumed in Australia and </w:t>
            </w:r>
            <w:r w:rsidR="007042C0">
              <w:t>New Zealand might be irradiated</w:t>
            </w:r>
            <w:r w:rsidR="007042C0" w:rsidRPr="007042C0">
              <w:t>.</w:t>
            </w:r>
          </w:p>
          <w:p w14:paraId="7AB2DB6F" w14:textId="77777777" w:rsidR="00686D47" w:rsidRDefault="00686D47" w:rsidP="00686D47">
            <w:pPr>
              <w:pStyle w:val="Table2"/>
              <w:ind w:left="73" w:firstLine="0"/>
              <w:cnfStyle w:val="000000100000" w:firstRow="0" w:lastRow="0" w:firstColumn="0" w:lastColumn="0" w:oddVBand="0" w:evenVBand="0" w:oddHBand="1" w:evenHBand="0" w:firstRowFirstColumn="0" w:firstRowLastColumn="0" w:lastRowFirstColumn="0" w:lastRowLastColumn="0"/>
            </w:pPr>
          </w:p>
          <w:p w14:paraId="4C193167" w14:textId="26A73470" w:rsidR="00B46DEE" w:rsidRDefault="00DC0F24" w:rsidP="003C398F">
            <w:pPr>
              <w:pStyle w:val="Table2"/>
              <w:ind w:left="73" w:firstLine="0"/>
              <w:cnfStyle w:val="000000100000" w:firstRow="0" w:lastRow="0" w:firstColumn="0" w:lastColumn="0" w:oddVBand="0" w:evenVBand="0" w:oddHBand="1" w:evenHBand="0" w:firstRowFirstColumn="0" w:firstRowLastColumn="0" w:lastRowFirstColumn="0" w:lastRowLastColumn="0"/>
            </w:pPr>
            <w:r>
              <w:t xml:space="preserve">FSANZ concludes that the irradiation of fruit and vegetables would have minimal impact on population nutrient intakes, and this conclusion is valid in the context of the small proportion of fresh fruit and vegetables likely to be treated. </w:t>
            </w:r>
          </w:p>
        </w:tc>
      </w:tr>
      <w:tr w:rsidR="00F6228C" w:rsidRPr="00125194" w14:paraId="507B6B0B" w14:textId="77777777" w:rsidTr="00523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right w:val="single" w:sz="4" w:space="0" w:color="auto"/>
            </w:tcBorders>
          </w:tcPr>
          <w:p w14:paraId="0F0AF4F2" w14:textId="25550250" w:rsidR="00B46DEE" w:rsidRDefault="00614E7D" w:rsidP="00614E7D">
            <w:pPr>
              <w:jc w:val="center"/>
              <w:rPr>
                <w:b w:val="0"/>
                <w:sz w:val="18"/>
                <w:szCs w:val="20"/>
              </w:rPr>
            </w:pPr>
            <w:r>
              <w:rPr>
                <w:b w:val="0"/>
                <w:sz w:val="18"/>
                <w:szCs w:val="20"/>
              </w:rPr>
              <w:t>9</w:t>
            </w:r>
          </w:p>
        </w:tc>
        <w:tc>
          <w:tcPr>
            <w:tcW w:w="4708" w:type="dxa"/>
            <w:tcBorders>
              <w:right w:val="single" w:sz="4" w:space="0" w:color="auto"/>
            </w:tcBorders>
          </w:tcPr>
          <w:p w14:paraId="32639DCA" w14:textId="1A4C4F3B" w:rsidR="00B46DEE" w:rsidRPr="00B97010" w:rsidRDefault="00B46DEE" w:rsidP="00DD48AC">
            <w:pPr>
              <w:cnfStyle w:val="000000010000" w:firstRow="0" w:lastRow="0" w:firstColumn="0" w:lastColumn="0" w:oddVBand="0" w:evenVBand="0" w:oddHBand="0" w:evenHBand="1" w:firstRowFirstColumn="0" w:firstRowLastColumn="0" w:lastRowFirstColumn="0" w:lastRowLastColumn="0"/>
              <w:rPr>
                <w:sz w:val="18"/>
                <w:szCs w:val="20"/>
              </w:rPr>
            </w:pPr>
            <w:r>
              <w:rPr>
                <w:sz w:val="18"/>
                <w:szCs w:val="20"/>
              </w:rPr>
              <w:t>Submitters were concerned about lower nutrient intakes due to irradiation of fruit and vegetables.</w:t>
            </w:r>
          </w:p>
        </w:tc>
        <w:tc>
          <w:tcPr>
            <w:tcW w:w="2112" w:type="dxa"/>
            <w:tcBorders>
              <w:left w:val="single" w:sz="4" w:space="0" w:color="auto"/>
              <w:right w:val="single" w:sz="4" w:space="0" w:color="auto"/>
            </w:tcBorders>
          </w:tcPr>
          <w:p w14:paraId="32A918DD" w14:textId="199F3AB8" w:rsidR="00B46DEE" w:rsidRPr="00125194" w:rsidRDefault="00CE3B79" w:rsidP="009F23FB">
            <w:pPr>
              <w:pStyle w:val="Table2"/>
              <w:cnfStyle w:val="000000010000" w:firstRow="0" w:lastRow="0" w:firstColumn="0" w:lastColumn="0" w:oddVBand="0" w:evenVBand="0" w:oddHBand="0" w:evenHBand="1" w:firstRowFirstColumn="0" w:firstRowLastColumn="0" w:lastRowFirstColumn="0" w:lastRowLastColumn="0"/>
            </w:pPr>
            <w:r>
              <w:t>As above</w:t>
            </w:r>
          </w:p>
        </w:tc>
        <w:tc>
          <w:tcPr>
            <w:tcW w:w="6523" w:type="dxa"/>
            <w:tcBorders>
              <w:left w:val="single" w:sz="4" w:space="0" w:color="auto"/>
            </w:tcBorders>
          </w:tcPr>
          <w:p w14:paraId="1C2B9EE5" w14:textId="01477578" w:rsidR="00B46DEE" w:rsidRDefault="00CE27D5" w:rsidP="006377F7">
            <w:pPr>
              <w:pStyle w:val="Table2"/>
              <w:ind w:left="77" w:firstLine="0"/>
              <w:cnfStyle w:val="000000010000" w:firstRow="0" w:lastRow="0" w:firstColumn="0" w:lastColumn="0" w:oddVBand="0" w:evenVBand="0" w:oddHBand="0" w:evenHBand="1" w:firstRowFirstColumn="0" w:firstRowLastColumn="0" w:lastRowFirstColumn="0" w:lastRowLastColumn="0"/>
            </w:pPr>
            <w:r>
              <w:t>Based on the number of factors considered in the dietary intake assessment, including that commodities where nutrient losses were shown only contribute small amounts to dietary intakes</w:t>
            </w:r>
            <w:r w:rsidR="00641344">
              <w:t xml:space="preserve"> </w:t>
            </w:r>
            <w:r w:rsidR="001E5BDA">
              <w:t xml:space="preserve">(i.e. </w:t>
            </w:r>
            <w:r w:rsidR="001E5BDA">
              <w:rPr>
                <w:noProof/>
              </w:rPr>
              <w:t>0.4% or less of vitamin C intakes from rocket and spinach</w:t>
            </w:r>
            <w:r w:rsidR="00641344">
              <w:rPr>
                <w:noProof/>
              </w:rPr>
              <w:t>)</w:t>
            </w:r>
            <w:r>
              <w:t>, and that only a small proportion of fruit and vegetables will be irradiated</w:t>
            </w:r>
            <w:r w:rsidR="007042C0">
              <w:t xml:space="preserve"> (see response to no. 8 above)</w:t>
            </w:r>
            <w:r>
              <w:t xml:space="preserve">, FSANZ concluded that there would be minimal impact on population nutrient intakes. </w:t>
            </w:r>
            <w:r w:rsidR="00464547">
              <w:t>I</w:t>
            </w:r>
            <w:r>
              <w:t>n addition, s</w:t>
            </w:r>
            <w:r w:rsidR="00B46DEE">
              <w:t xml:space="preserve">ee </w:t>
            </w:r>
            <w:r w:rsidR="00DD48AC">
              <w:t>S</w:t>
            </w:r>
            <w:r w:rsidR="00B46DEE" w:rsidRPr="00F17BDF">
              <w:t xml:space="preserve">ection 5.2.6 </w:t>
            </w:r>
            <w:r w:rsidR="00B46DEE">
              <w:t xml:space="preserve">in SD1 </w:t>
            </w:r>
            <w:r w:rsidR="00B46DEE" w:rsidRPr="00F17BDF">
              <w:t xml:space="preserve">– a new section that evaluates the coverage of the nutrient impact data compiled in the nutrition risk assessment against </w:t>
            </w:r>
            <w:r>
              <w:t>commonly consumed</w:t>
            </w:r>
            <w:r w:rsidRPr="00F17BDF">
              <w:t xml:space="preserve"> </w:t>
            </w:r>
            <w:r w:rsidR="00B46DEE" w:rsidRPr="00F17BDF">
              <w:t xml:space="preserve">commodities and </w:t>
            </w:r>
            <w:r>
              <w:t xml:space="preserve">contributions to </w:t>
            </w:r>
            <w:r w:rsidR="00B46DEE" w:rsidRPr="00F17BDF">
              <w:t>nutrient intakes</w:t>
            </w:r>
            <w:r w:rsidR="005A7929">
              <w:t>.</w:t>
            </w:r>
          </w:p>
        </w:tc>
      </w:tr>
      <w:tr w:rsidR="00F6228C" w:rsidRPr="00125194" w14:paraId="572C97D8"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right w:val="single" w:sz="4" w:space="0" w:color="auto"/>
            </w:tcBorders>
          </w:tcPr>
          <w:p w14:paraId="29C65326" w14:textId="39A6CF03" w:rsidR="00B46DEE" w:rsidRDefault="00614E7D" w:rsidP="00614E7D">
            <w:pPr>
              <w:jc w:val="center"/>
              <w:rPr>
                <w:b w:val="0"/>
                <w:sz w:val="18"/>
                <w:szCs w:val="20"/>
              </w:rPr>
            </w:pPr>
            <w:r>
              <w:rPr>
                <w:b w:val="0"/>
                <w:sz w:val="18"/>
                <w:szCs w:val="20"/>
              </w:rPr>
              <w:t>10</w:t>
            </w:r>
          </w:p>
        </w:tc>
        <w:tc>
          <w:tcPr>
            <w:tcW w:w="4708" w:type="dxa"/>
            <w:tcBorders>
              <w:right w:val="single" w:sz="4" w:space="0" w:color="auto"/>
            </w:tcBorders>
          </w:tcPr>
          <w:p w14:paraId="38709D97" w14:textId="5C869EF0" w:rsidR="00B46DEE" w:rsidRPr="00B97010" w:rsidRDefault="00B46DEE" w:rsidP="00DD48AC">
            <w:pPr>
              <w:cnfStyle w:val="000000100000" w:firstRow="0" w:lastRow="0" w:firstColumn="0" w:lastColumn="0" w:oddVBand="0" w:evenVBand="0" w:oddHBand="1" w:evenHBand="0" w:firstRowFirstColumn="0" w:firstRowLastColumn="0" w:lastRowFirstColumn="0" w:lastRowLastColumn="0"/>
              <w:rPr>
                <w:sz w:val="18"/>
                <w:szCs w:val="20"/>
              </w:rPr>
            </w:pPr>
            <w:r>
              <w:rPr>
                <w:sz w:val="18"/>
                <w:szCs w:val="20"/>
              </w:rPr>
              <w:t xml:space="preserve">Submitters were concerned about potential health impacts from irradiation of fruit and vegetables </w:t>
            </w:r>
          </w:p>
        </w:tc>
        <w:tc>
          <w:tcPr>
            <w:tcW w:w="2112" w:type="dxa"/>
            <w:tcBorders>
              <w:left w:val="single" w:sz="4" w:space="0" w:color="auto"/>
              <w:right w:val="single" w:sz="4" w:space="0" w:color="auto"/>
            </w:tcBorders>
          </w:tcPr>
          <w:p w14:paraId="535A79F4" w14:textId="7C6B71A7" w:rsidR="00B46DEE" w:rsidRPr="00125194" w:rsidRDefault="00CE3B79" w:rsidP="009F23FB">
            <w:pPr>
              <w:pStyle w:val="Table2"/>
              <w:cnfStyle w:val="000000100000" w:firstRow="0" w:lastRow="0" w:firstColumn="0" w:lastColumn="0" w:oddVBand="0" w:evenVBand="0" w:oddHBand="1" w:evenHBand="0" w:firstRowFirstColumn="0" w:firstRowLastColumn="0" w:lastRowFirstColumn="0" w:lastRowLastColumn="0"/>
            </w:pPr>
            <w:r>
              <w:t>As above</w:t>
            </w:r>
          </w:p>
        </w:tc>
        <w:tc>
          <w:tcPr>
            <w:tcW w:w="6523" w:type="dxa"/>
            <w:tcBorders>
              <w:left w:val="single" w:sz="4" w:space="0" w:color="auto"/>
            </w:tcBorders>
          </w:tcPr>
          <w:p w14:paraId="51056626" w14:textId="2AB8661E" w:rsidR="00B46DEE" w:rsidRDefault="00B46DEE" w:rsidP="00243F63">
            <w:pPr>
              <w:pStyle w:val="Table2"/>
              <w:ind w:left="77" w:firstLine="0"/>
              <w:cnfStyle w:val="000000100000" w:firstRow="0" w:lastRow="0" w:firstColumn="0" w:lastColumn="0" w:oddVBand="0" w:evenVBand="0" w:oddHBand="1" w:evenHBand="0" w:firstRowFirstColumn="0" w:firstRowLastColumn="0" w:lastRowFirstColumn="0" w:lastRowLastColumn="0"/>
            </w:pPr>
            <w:r>
              <w:t xml:space="preserve">From a nutrition perspective (see above for safety considerations), the risk associated with irradiation is that the nutritional quality of fruit and vegetables is reduced and may lead to nutrient inadequacies. Whilst some published studies indicated losses in nutrient content of some irradiation sensitive nutrients such as vitamin C and </w:t>
            </w:r>
            <w:r>
              <w:sym w:font="Symbol" w:char="F062"/>
            </w:r>
            <w:r>
              <w:t xml:space="preserve">-carotene in some commodities, other factors were considered in the dietary intake assessment. These factors included that fruit and vegetables contribute only a proportion of total dietary vitamin C and </w:t>
            </w:r>
            <w:r>
              <w:rPr>
                <w:rFonts w:cs="Calibri"/>
              </w:rPr>
              <w:t>β</w:t>
            </w:r>
            <w:r>
              <w:t xml:space="preserve">-carotene intake </w:t>
            </w:r>
            <w:r w:rsidR="00243F63">
              <w:t>(</w:t>
            </w:r>
            <w:r w:rsidR="009F462E">
              <w:t>42</w:t>
            </w:r>
            <w:r w:rsidR="00243F63">
              <w:t xml:space="preserve"> – </w:t>
            </w:r>
            <w:r w:rsidR="009F462E">
              <w:t>63% for vitamin C and 62</w:t>
            </w:r>
            <w:r w:rsidR="00243F63">
              <w:t xml:space="preserve"> – </w:t>
            </w:r>
            <w:r w:rsidR="009F462E">
              <w:t xml:space="preserve">73% for </w:t>
            </w:r>
            <w:r w:rsidR="009F462E">
              <w:rPr>
                <w:rFonts w:cs="Calibri"/>
              </w:rPr>
              <w:t>β</w:t>
            </w:r>
            <w:r w:rsidR="009F462E">
              <w:t>-carotene),</w:t>
            </w:r>
            <w:r w:rsidR="006E2592">
              <w:t xml:space="preserve"> a variety of foods contribute to the intake of individual nutrients, </w:t>
            </w:r>
            <w:r w:rsidRPr="0076689C">
              <w:t xml:space="preserve">and only a </w:t>
            </w:r>
            <w:r>
              <w:t xml:space="preserve">small </w:t>
            </w:r>
            <w:r w:rsidRPr="0076689C">
              <w:t xml:space="preserve">proportion of fruit and vegetables would be </w:t>
            </w:r>
            <w:r>
              <w:t>irradiated</w:t>
            </w:r>
            <w:r w:rsidR="007042C0">
              <w:t xml:space="preserve"> (conservative estimates being</w:t>
            </w:r>
            <w:r w:rsidR="006455B5">
              <w:t xml:space="preserve"> between</w:t>
            </w:r>
            <w:r w:rsidR="007042C0">
              <w:t xml:space="preserve"> 0.3 – 8%)</w:t>
            </w:r>
            <w:r>
              <w:t>. The impact of vitamin losses in specific commodities was investigated by FSANZ (see Section 5.2.2 in the SD1) and were shown to contribute a small proportion to total dietary intakes of the nutrient</w:t>
            </w:r>
            <w:r w:rsidR="00347320">
              <w:t xml:space="preserve"> (i.e. </w:t>
            </w:r>
            <w:r w:rsidR="00347320">
              <w:rPr>
                <w:noProof/>
              </w:rPr>
              <w:t>0.4% or less of vitamin C intakes from rocket and spinach)</w:t>
            </w:r>
            <w:r>
              <w:t xml:space="preserve">. </w:t>
            </w:r>
            <w:r>
              <w:rPr>
                <w:lang w:val="en-AU"/>
              </w:rPr>
              <w:t>Therefore</w:t>
            </w:r>
            <w:r w:rsidRPr="00B25578">
              <w:t xml:space="preserve">, any impact of irradiation on nutrient content </w:t>
            </w:r>
            <w:r w:rsidR="00623217">
              <w:t xml:space="preserve">will have minimal </w:t>
            </w:r>
            <w:r w:rsidRPr="00325045">
              <w:t>impact</w:t>
            </w:r>
            <w:r w:rsidR="00623217">
              <w:t xml:space="preserve"> on</w:t>
            </w:r>
            <w:r w:rsidRPr="00325045">
              <w:t xml:space="preserve"> total dietary intakes</w:t>
            </w:r>
            <w:r>
              <w:rPr>
                <w:lang w:val="en-AU"/>
              </w:rPr>
              <w:t xml:space="preserve">. Responses to submissions in relation to other nutrients (e.g. folate, thiamin, vitamin E, vitamin A, vitamin K) are directly addressed in </w:t>
            </w:r>
            <w:r w:rsidR="00AF38B0" w:rsidRPr="008C78AA">
              <w:fldChar w:fldCharType="begin"/>
            </w:r>
            <w:r w:rsidR="00AF38B0" w:rsidRPr="008C78AA">
              <w:rPr>
                <w:lang w:val="en-AU"/>
              </w:rPr>
              <w:instrText xml:space="preserve"> REF _Ref65681610 \h </w:instrText>
            </w:r>
            <w:r w:rsidR="00614E7D" w:rsidRPr="008C78AA">
              <w:instrText xml:space="preserve"> \* MERGEFORMAT </w:instrText>
            </w:r>
            <w:r w:rsidR="00AF38B0" w:rsidRPr="008C78AA">
              <w:fldChar w:fldCharType="separate"/>
            </w:r>
            <w:r w:rsidR="00A67B9C">
              <w:t xml:space="preserve">Appendix </w:t>
            </w:r>
            <w:r w:rsidR="00A67B9C">
              <w:rPr>
                <w:noProof/>
              </w:rPr>
              <w:t>2</w:t>
            </w:r>
            <w:r w:rsidR="00AF38B0" w:rsidRPr="008C78AA">
              <w:fldChar w:fldCharType="end"/>
            </w:r>
            <w:r w:rsidRPr="008C78AA">
              <w:t xml:space="preserve"> (see </w:t>
            </w:r>
            <w:r w:rsidR="008C78AA" w:rsidRPr="008C78AA">
              <w:t>nos.</w:t>
            </w:r>
            <w:r w:rsidRPr="008C78AA">
              <w:t xml:space="preserve"> 2</w:t>
            </w:r>
            <w:r w:rsidR="008C78AA" w:rsidRPr="008C78AA">
              <w:t>6</w:t>
            </w:r>
            <w:r w:rsidRPr="008C78AA">
              <w:t xml:space="preserve"> – </w:t>
            </w:r>
            <w:r w:rsidR="008C78AA" w:rsidRPr="008C78AA">
              <w:t>46</w:t>
            </w:r>
            <w:r w:rsidRPr="008C78AA">
              <w:t>)</w:t>
            </w:r>
            <w:r w:rsidR="00B67C7A" w:rsidRPr="008C78AA">
              <w:t>.</w:t>
            </w:r>
          </w:p>
        </w:tc>
      </w:tr>
      <w:tr w:rsidR="00F6228C" w:rsidRPr="00125194" w14:paraId="5C0B1914" w14:textId="77777777" w:rsidTr="00523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tcPr>
          <w:p w14:paraId="64CA23B7" w14:textId="700F58EF" w:rsidR="00B46DEE" w:rsidRDefault="00614E7D" w:rsidP="00614E7D">
            <w:pPr>
              <w:jc w:val="center"/>
              <w:rPr>
                <w:b w:val="0"/>
                <w:sz w:val="18"/>
                <w:szCs w:val="20"/>
              </w:rPr>
            </w:pPr>
            <w:r>
              <w:rPr>
                <w:b w:val="0"/>
                <w:sz w:val="18"/>
                <w:szCs w:val="20"/>
              </w:rPr>
              <w:t>11</w:t>
            </w:r>
          </w:p>
        </w:tc>
        <w:tc>
          <w:tcPr>
            <w:tcW w:w="4708" w:type="dxa"/>
            <w:tcBorders>
              <w:bottom w:val="single" w:sz="4" w:space="0" w:color="auto"/>
              <w:right w:val="single" w:sz="4" w:space="0" w:color="auto"/>
            </w:tcBorders>
          </w:tcPr>
          <w:p w14:paraId="39C9130D" w14:textId="77777777" w:rsidR="00B46DEE" w:rsidRDefault="00B46DEE" w:rsidP="009F23FB">
            <w:pPr>
              <w:cnfStyle w:val="000000010000" w:firstRow="0" w:lastRow="0" w:firstColumn="0" w:lastColumn="0" w:oddVBand="0" w:evenVBand="0" w:oddHBand="0" w:evenHBand="1" w:firstRowFirstColumn="0" w:firstRowLastColumn="0" w:lastRowFirstColumn="0" w:lastRowLastColumn="0"/>
              <w:rPr>
                <w:sz w:val="18"/>
                <w:szCs w:val="20"/>
              </w:rPr>
            </w:pPr>
            <w:r>
              <w:rPr>
                <w:sz w:val="18"/>
                <w:szCs w:val="20"/>
              </w:rPr>
              <w:t>Submitters expressed c</w:t>
            </w:r>
            <w:r w:rsidRPr="003E1E82">
              <w:rPr>
                <w:sz w:val="18"/>
                <w:szCs w:val="20"/>
              </w:rPr>
              <w:t>oncerns for specific sub-groups within the population from eating irradiated produce, including infants and children, and people with allergies.</w:t>
            </w:r>
          </w:p>
        </w:tc>
        <w:tc>
          <w:tcPr>
            <w:tcW w:w="2112" w:type="dxa"/>
            <w:tcBorders>
              <w:left w:val="single" w:sz="4" w:space="0" w:color="auto"/>
              <w:bottom w:val="single" w:sz="4" w:space="0" w:color="auto"/>
              <w:right w:val="single" w:sz="4" w:space="0" w:color="auto"/>
            </w:tcBorders>
          </w:tcPr>
          <w:p w14:paraId="3CDC8A50" w14:textId="77777777" w:rsidR="00CE3B79" w:rsidRDefault="00CE3B79" w:rsidP="009F23FB">
            <w:pPr>
              <w:pStyle w:val="Table2"/>
              <w:cnfStyle w:val="000000010000" w:firstRow="0" w:lastRow="0" w:firstColumn="0" w:lastColumn="0" w:oddVBand="0" w:evenVBand="0" w:oddHBand="0" w:evenHBand="1" w:firstRowFirstColumn="0" w:firstRowLastColumn="0" w:lastRowFirstColumn="0" w:lastRowLastColumn="0"/>
            </w:pPr>
            <w:r>
              <w:t>As above</w:t>
            </w:r>
          </w:p>
          <w:p w14:paraId="7C5A3764" w14:textId="77777777" w:rsidR="00CE3B79" w:rsidRDefault="00CE3B79" w:rsidP="009F23FB">
            <w:pPr>
              <w:pStyle w:val="Table2"/>
              <w:cnfStyle w:val="000000010000" w:firstRow="0" w:lastRow="0" w:firstColumn="0" w:lastColumn="0" w:oddVBand="0" w:evenVBand="0" w:oddHBand="0" w:evenHBand="1" w:firstRowFirstColumn="0" w:firstRowLastColumn="0" w:lastRowFirstColumn="0" w:lastRowLastColumn="0"/>
            </w:pPr>
          </w:p>
          <w:p w14:paraId="71EC9EF4" w14:textId="6B1678F7" w:rsidR="00B46DEE" w:rsidRPr="00125194" w:rsidRDefault="00CE3B79" w:rsidP="00614E7D">
            <w:pPr>
              <w:pStyle w:val="Table2"/>
              <w:ind w:left="0" w:firstLine="0"/>
              <w:cnfStyle w:val="000000010000" w:firstRow="0" w:lastRow="0" w:firstColumn="0" w:lastColumn="0" w:oddVBand="0" w:evenVBand="0" w:oddHBand="0" w:evenHBand="1" w:firstRowFirstColumn="0" w:firstRowLastColumn="0" w:lastRowFirstColumn="0" w:lastRowLastColumn="0"/>
            </w:pPr>
            <w:r>
              <w:t>Allergy and Anaphylaxis Australia</w:t>
            </w:r>
          </w:p>
        </w:tc>
        <w:tc>
          <w:tcPr>
            <w:tcW w:w="6523" w:type="dxa"/>
            <w:tcBorders>
              <w:left w:val="single" w:sz="4" w:space="0" w:color="auto"/>
              <w:bottom w:val="single" w:sz="4" w:space="0" w:color="auto"/>
            </w:tcBorders>
          </w:tcPr>
          <w:p w14:paraId="1D9AF08D" w14:textId="22F58B80" w:rsidR="00B46DEE" w:rsidRDefault="00B46DEE" w:rsidP="00740C63">
            <w:pPr>
              <w:pStyle w:val="Table2"/>
              <w:ind w:left="77" w:firstLine="0"/>
              <w:cnfStyle w:val="000000010000" w:firstRow="0" w:lastRow="0" w:firstColumn="0" w:lastColumn="0" w:oddVBand="0" w:evenVBand="0" w:oddHBand="0" w:evenHBand="1" w:firstRowFirstColumn="0" w:firstRowLastColumn="0" w:lastRowFirstColumn="0" w:lastRowLastColumn="0"/>
            </w:pPr>
            <w:r w:rsidRPr="002F7D8D">
              <w:t xml:space="preserve">The dietary intake assessment </w:t>
            </w:r>
            <w:r w:rsidR="007269F2" w:rsidRPr="002F7D8D">
              <w:t xml:space="preserve">conducted by FSANZ for this application and previous applications for phytosanitary irradiation </w:t>
            </w:r>
            <w:r w:rsidRPr="002F7D8D">
              <w:t>consider</w:t>
            </w:r>
            <w:r w:rsidR="007269F2">
              <w:t>ed</w:t>
            </w:r>
            <w:r w:rsidRPr="002F7D8D">
              <w:t xml:space="preserve"> the Australian and New Zealand populations, which includes </w:t>
            </w:r>
            <w:r w:rsidR="007269F2" w:rsidRPr="002F7D8D">
              <w:t>all age groups including children</w:t>
            </w:r>
            <w:r w:rsidR="007269F2">
              <w:t>,</w:t>
            </w:r>
            <w:r w:rsidR="007269F2" w:rsidRPr="002F7D8D">
              <w:t xml:space="preserve"> </w:t>
            </w:r>
            <w:r w:rsidR="007269F2">
              <w:t xml:space="preserve">and </w:t>
            </w:r>
            <w:r w:rsidRPr="002F7D8D">
              <w:t>sub</w:t>
            </w:r>
            <w:r w:rsidR="00DD48AC">
              <w:t>-</w:t>
            </w:r>
            <w:r w:rsidRPr="002F7D8D">
              <w:t>populations with varied eating habits including very high intakes of fruit and vegetables.</w:t>
            </w:r>
            <w:r>
              <w:t xml:space="preserve"> </w:t>
            </w:r>
            <w:r w:rsidRPr="002F7D8D">
              <w:t xml:space="preserve">Multi-generation studies in animal models show that there are no </w:t>
            </w:r>
            <w:r w:rsidR="00740C63">
              <w:t xml:space="preserve">specific </w:t>
            </w:r>
            <w:r w:rsidRPr="002F7D8D">
              <w:t xml:space="preserve">safety concerns for </w:t>
            </w:r>
            <w:r w:rsidR="00740C63">
              <w:t>infants</w:t>
            </w:r>
            <w:r w:rsidR="00740C63" w:rsidRPr="002F7D8D">
              <w:t xml:space="preserve"> </w:t>
            </w:r>
            <w:r w:rsidRPr="002F7D8D">
              <w:t xml:space="preserve">or </w:t>
            </w:r>
            <w:r w:rsidR="00740C63">
              <w:t>children</w:t>
            </w:r>
            <w:r w:rsidRPr="002F7D8D">
              <w:t xml:space="preserve">. </w:t>
            </w:r>
          </w:p>
        </w:tc>
      </w:tr>
      <w:tr w:rsidR="00F6228C" w:rsidRPr="009B6610" w14:paraId="3C53D946"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C2D69B" w:themeFill="accent3" w:themeFillTint="99"/>
          </w:tcPr>
          <w:p w14:paraId="30CDF586" w14:textId="77777777" w:rsidR="00B46DEE" w:rsidRPr="009B6610" w:rsidRDefault="00B46DEE" w:rsidP="00614E7D">
            <w:pPr>
              <w:pStyle w:val="Table2"/>
              <w:ind w:left="0" w:firstLine="0"/>
              <w:jc w:val="center"/>
              <w:rPr>
                <w:b w:val="0"/>
                <w:bCs/>
                <w:sz w:val="22"/>
                <w:szCs w:val="22"/>
              </w:rPr>
            </w:pPr>
          </w:p>
        </w:tc>
        <w:tc>
          <w:tcPr>
            <w:tcW w:w="4708" w:type="dxa"/>
            <w:tcBorders>
              <w:bottom w:val="single" w:sz="4" w:space="0" w:color="auto"/>
              <w:right w:val="single" w:sz="4" w:space="0" w:color="auto"/>
            </w:tcBorders>
            <w:shd w:val="clear" w:color="auto" w:fill="C2D69B" w:themeFill="accent3" w:themeFillTint="99"/>
          </w:tcPr>
          <w:p w14:paraId="6850E6AD" w14:textId="77777777" w:rsidR="00B46DEE" w:rsidRPr="009B6610" w:rsidRDefault="00B46DEE" w:rsidP="009F23FB">
            <w:pPr>
              <w:pStyle w:val="Table2"/>
              <w:ind w:left="0" w:firstLine="0"/>
              <w:cnfStyle w:val="000000100000" w:firstRow="0" w:lastRow="0" w:firstColumn="0" w:lastColumn="0" w:oddVBand="0" w:evenVBand="0" w:oddHBand="1" w:evenHBand="0" w:firstRowFirstColumn="0" w:firstRowLastColumn="0" w:lastRowFirstColumn="0" w:lastRowLastColumn="0"/>
              <w:rPr>
                <w:b/>
                <w:bCs w:val="0"/>
                <w:sz w:val="22"/>
                <w:szCs w:val="22"/>
              </w:rPr>
            </w:pPr>
            <w:r w:rsidRPr="009B6610">
              <w:rPr>
                <w:b/>
                <w:bCs w:val="0"/>
                <w:sz w:val="22"/>
                <w:szCs w:val="22"/>
              </w:rPr>
              <w:t>Technological justification</w:t>
            </w:r>
          </w:p>
        </w:tc>
        <w:tc>
          <w:tcPr>
            <w:tcW w:w="2112" w:type="dxa"/>
            <w:tcBorders>
              <w:left w:val="single" w:sz="4" w:space="0" w:color="auto"/>
              <w:bottom w:val="single" w:sz="4" w:space="0" w:color="auto"/>
              <w:right w:val="single" w:sz="4" w:space="0" w:color="auto"/>
            </w:tcBorders>
            <w:shd w:val="clear" w:color="auto" w:fill="C2D69B" w:themeFill="accent3" w:themeFillTint="99"/>
          </w:tcPr>
          <w:p w14:paraId="02AE6241" w14:textId="77777777" w:rsidR="00B46DEE" w:rsidRPr="009B6610" w:rsidRDefault="00B46DEE" w:rsidP="009F23FB">
            <w:pPr>
              <w:pStyle w:val="Table2"/>
              <w:cnfStyle w:val="000000100000" w:firstRow="0" w:lastRow="0" w:firstColumn="0" w:lastColumn="0" w:oddVBand="0" w:evenVBand="0" w:oddHBand="1" w:evenHBand="0" w:firstRowFirstColumn="0" w:firstRowLastColumn="0" w:lastRowFirstColumn="0" w:lastRowLastColumn="0"/>
              <w:rPr>
                <w:b/>
                <w:bCs w:val="0"/>
                <w:sz w:val="22"/>
                <w:szCs w:val="22"/>
              </w:rPr>
            </w:pPr>
          </w:p>
        </w:tc>
        <w:tc>
          <w:tcPr>
            <w:tcW w:w="6523" w:type="dxa"/>
            <w:tcBorders>
              <w:left w:val="single" w:sz="4" w:space="0" w:color="auto"/>
              <w:bottom w:val="single" w:sz="4" w:space="0" w:color="auto"/>
            </w:tcBorders>
            <w:shd w:val="clear" w:color="auto" w:fill="C2D69B" w:themeFill="accent3" w:themeFillTint="99"/>
          </w:tcPr>
          <w:p w14:paraId="76FBFE33" w14:textId="77777777" w:rsidR="00B46DEE" w:rsidRPr="009B6610" w:rsidRDefault="00B46DEE" w:rsidP="009B6610">
            <w:pPr>
              <w:pStyle w:val="Table2"/>
              <w:ind w:left="77" w:firstLine="0"/>
              <w:cnfStyle w:val="000000100000" w:firstRow="0" w:lastRow="0" w:firstColumn="0" w:lastColumn="0" w:oddVBand="0" w:evenVBand="0" w:oddHBand="1" w:evenHBand="0" w:firstRowFirstColumn="0" w:firstRowLastColumn="0" w:lastRowFirstColumn="0" w:lastRowLastColumn="0"/>
              <w:rPr>
                <w:b/>
                <w:bCs w:val="0"/>
                <w:sz w:val="22"/>
                <w:szCs w:val="22"/>
              </w:rPr>
            </w:pPr>
          </w:p>
        </w:tc>
      </w:tr>
      <w:tr w:rsidR="00F6228C" w:rsidRPr="00125194" w14:paraId="1D1F4629" w14:textId="77777777" w:rsidTr="00523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E6EED5"/>
          </w:tcPr>
          <w:p w14:paraId="77C32ED0" w14:textId="243BA998" w:rsidR="00B46DEE" w:rsidRPr="004607A2" w:rsidRDefault="00614E7D" w:rsidP="00614E7D">
            <w:pPr>
              <w:pStyle w:val="Table2"/>
              <w:ind w:left="0" w:firstLine="0"/>
              <w:jc w:val="center"/>
              <w:rPr>
                <w:b w:val="0"/>
              </w:rPr>
            </w:pPr>
            <w:r>
              <w:rPr>
                <w:b w:val="0"/>
              </w:rPr>
              <w:t>12</w:t>
            </w:r>
          </w:p>
        </w:tc>
        <w:tc>
          <w:tcPr>
            <w:tcW w:w="4708" w:type="dxa"/>
            <w:tcBorders>
              <w:bottom w:val="single" w:sz="4" w:space="0" w:color="auto"/>
              <w:right w:val="single" w:sz="4" w:space="0" w:color="auto"/>
            </w:tcBorders>
            <w:shd w:val="clear" w:color="auto" w:fill="E6EED5"/>
          </w:tcPr>
          <w:p w14:paraId="15E7E058" w14:textId="77777777" w:rsidR="00B46DEE" w:rsidRPr="00B97010" w:rsidRDefault="00B46DEE" w:rsidP="009F23FB">
            <w:pPr>
              <w:pStyle w:val="Table2"/>
              <w:ind w:left="0" w:firstLine="0"/>
              <w:cnfStyle w:val="000000010000" w:firstRow="0" w:lastRow="0" w:firstColumn="0" w:lastColumn="0" w:oddVBand="0" w:evenVBand="0" w:oddHBand="0" w:evenHBand="1" w:firstRowFirstColumn="0" w:firstRowLastColumn="0" w:lastRowFirstColumn="0" w:lastRowLastColumn="0"/>
            </w:pPr>
            <w:r w:rsidRPr="00B97010">
              <w:t>There is no demonstrated technological need for using irradiation as a phytosanitary measure, as numerous chemical-free alternatives exist.</w:t>
            </w:r>
            <w:r>
              <w:t xml:space="preserve"> </w:t>
            </w:r>
          </w:p>
        </w:tc>
        <w:tc>
          <w:tcPr>
            <w:tcW w:w="2112" w:type="dxa"/>
            <w:tcBorders>
              <w:left w:val="single" w:sz="4" w:space="0" w:color="auto"/>
              <w:bottom w:val="single" w:sz="4" w:space="0" w:color="auto"/>
              <w:right w:val="single" w:sz="4" w:space="0" w:color="auto"/>
            </w:tcBorders>
            <w:shd w:val="clear" w:color="auto" w:fill="E6EED5"/>
          </w:tcPr>
          <w:p w14:paraId="7B965054" w14:textId="77777777" w:rsidR="00B46DEE" w:rsidRDefault="00B46DEE" w:rsidP="009F23FB">
            <w:pPr>
              <w:pStyle w:val="Table2"/>
              <w:ind w:left="0" w:firstLine="0"/>
              <w:cnfStyle w:val="000000010000" w:firstRow="0" w:lastRow="0" w:firstColumn="0" w:lastColumn="0" w:oddVBand="0" w:evenVBand="0" w:oddHBand="0" w:evenHBand="1" w:firstRowFirstColumn="0" w:firstRowLastColumn="0" w:lastRowFirstColumn="0" w:lastRowLastColumn="0"/>
            </w:pPr>
            <w:r>
              <w:t>Food Irradiation Watch/Gene Ethics</w:t>
            </w:r>
          </w:p>
          <w:p w14:paraId="5094A7D7"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p>
          <w:p w14:paraId="71F7D0B9"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r>
              <w:t>GE Free NZ</w:t>
            </w:r>
          </w:p>
          <w:p w14:paraId="4B0F3F72"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r>
              <w:t xml:space="preserve"> </w:t>
            </w:r>
          </w:p>
          <w:p w14:paraId="2301C42B" w14:textId="77777777" w:rsidR="00B46DEE" w:rsidRDefault="00B46DEE" w:rsidP="009F23FB">
            <w:pPr>
              <w:pStyle w:val="Table2"/>
              <w:ind w:left="0" w:firstLine="0"/>
              <w:cnfStyle w:val="000000010000" w:firstRow="0" w:lastRow="0" w:firstColumn="0" w:lastColumn="0" w:oddVBand="0" w:evenVBand="0" w:oddHBand="0" w:evenHBand="1" w:firstRowFirstColumn="0" w:firstRowLastColumn="0" w:lastRowFirstColumn="0" w:lastRowLastColumn="0"/>
            </w:pPr>
            <w:r>
              <w:t>Sustainable Agriculture and Communities Alliance (SACA), Victoria</w:t>
            </w:r>
          </w:p>
          <w:p w14:paraId="15CF719A"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p>
          <w:p w14:paraId="5245DB77"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r>
              <w:t>Friends of the Earth NZ</w:t>
            </w:r>
          </w:p>
          <w:p w14:paraId="5D0138C0"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p>
          <w:p w14:paraId="12EAF365"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r>
              <w:t>Private individuals</w:t>
            </w:r>
          </w:p>
          <w:p w14:paraId="5A8834C5"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p>
          <w:p w14:paraId="365D438E"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r>
              <w:t>Ceres Natural Foods</w:t>
            </w:r>
          </w:p>
          <w:p w14:paraId="32F57E32"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p>
          <w:p w14:paraId="0EF71551"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r>
              <w:t>GE Free Northland</w:t>
            </w:r>
          </w:p>
          <w:p w14:paraId="37F96D0A"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p>
          <w:p w14:paraId="76D8DD57" w14:textId="77777777" w:rsidR="00B46DEE" w:rsidRDefault="00B46DEE" w:rsidP="00184817">
            <w:pPr>
              <w:pStyle w:val="Table2"/>
              <w:ind w:left="0" w:firstLine="0"/>
              <w:cnfStyle w:val="000000010000" w:firstRow="0" w:lastRow="0" w:firstColumn="0" w:lastColumn="0" w:oddVBand="0" w:evenVBand="0" w:oddHBand="0" w:evenHBand="1" w:firstRowFirstColumn="0" w:firstRowLastColumn="0" w:lastRowFirstColumn="0" w:lastRowLastColumn="0"/>
            </w:pPr>
            <w:r>
              <w:t>Organic Industries of Australia</w:t>
            </w:r>
          </w:p>
          <w:p w14:paraId="78B04218"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p>
          <w:p w14:paraId="1CE49DB7" w14:textId="77777777" w:rsidR="00B46DEE" w:rsidRPr="00125194" w:rsidRDefault="00B46DEE" w:rsidP="009F23FB">
            <w:pPr>
              <w:pStyle w:val="Table2"/>
              <w:cnfStyle w:val="000000010000" w:firstRow="0" w:lastRow="0" w:firstColumn="0" w:lastColumn="0" w:oddVBand="0" w:evenVBand="0" w:oddHBand="0" w:evenHBand="1" w:firstRowFirstColumn="0" w:firstRowLastColumn="0" w:lastRowFirstColumn="0" w:lastRowLastColumn="0"/>
            </w:pPr>
            <w:r>
              <w:t>Wiser Equity Pty Ltd</w:t>
            </w:r>
          </w:p>
        </w:tc>
        <w:tc>
          <w:tcPr>
            <w:tcW w:w="6523" w:type="dxa"/>
            <w:tcBorders>
              <w:left w:val="single" w:sz="4" w:space="0" w:color="auto"/>
              <w:bottom w:val="single" w:sz="4" w:space="0" w:color="auto"/>
            </w:tcBorders>
            <w:shd w:val="clear" w:color="auto" w:fill="E6EED5"/>
          </w:tcPr>
          <w:p w14:paraId="098326DD" w14:textId="77777777" w:rsidR="00B46DEE" w:rsidRDefault="00B46DEE" w:rsidP="009B6610">
            <w:pPr>
              <w:pStyle w:val="Table2"/>
              <w:ind w:left="77" w:firstLine="0"/>
              <w:cnfStyle w:val="000000010000" w:firstRow="0" w:lastRow="0" w:firstColumn="0" w:lastColumn="0" w:oddVBand="0" w:evenVBand="0" w:oddHBand="0" w:evenHBand="1" w:firstRowFirstColumn="0" w:firstRowLastColumn="0" w:lastRowFirstColumn="0" w:lastRowLastColumn="0"/>
            </w:pPr>
            <w:r>
              <w:t>This issue has been addressed in Section 2 of SD1.</w:t>
            </w:r>
          </w:p>
          <w:p w14:paraId="0776944D" w14:textId="77777777" w:rsidR="00B46DEE" w:rsidRDefault="00B46DEE" w:rsidP="009B6610">
            <w:pPr>
              <w:pStyle w:val="Table2"/>
              <w:ind w:left="77" w:firstLine="0"/>
              <w:cnfStyle w:val="000000010000" w:firstRow="0" w:lastRow="0" w:firstColumn="0" w:lastColumn="0" w:oddVBand="0" w:evenVBand="0" w:oddHBand="0" w:evenHBand="1" w:firstRowFirstColumn="0" w:firstRowLastColumn="0" w:lastRowFirstColumn="0" w:lastRowLastColumn="0"/>
            </w:pPr>
          </w:p>
          <w:p w14:paraId="3A0C3B4D" w14:textId="77777777" w:rsidR="00D93AF3" w:rsidRDefault="00D93AF3" w:rsidP="009B6610">
            <w:pPr>
              <w:pStyle w:val="Table2"/>
              <w:ind w:left="77" w:firstLine="0"/>
              <w:cnfStyle w:val="000000010000" w:firstRow="0" w:lastRow="0" w:firstColumn="0" w:lastColumn="0" w:oddVBand="0" w:evenVBand="0" w:oddHBand="0" w:evenHBand="1" w:firstRowFirstColumn="0" w:firstRowLastColumn="0" w:lastRowFirstColumn="0" w:lastRowLastColumn="0"/>
            </w:pPr>
            <w:r>
              <w:t>I</w:t>
            </w:r>
            <w:r w:rsidRPr="0018208B">
              <w:t xml:space="preserve">rradiation will not be a mandatory treatment under </w:t>
            </w:r>
            <w:r>
              <w:t xml:space="preserve">the </w:t>
            </w:r>
            <w:r w:rsidRPr="0018208B">
              <w:t xml:space="preserve">Code. Rather, it will be only one of a number of existing phytosanitary treatment options </w:t>
            </w:r>
            <w:r>
              <w:t>from which</w:t>
            </w:r>
            <w:r w:rsidRPr="0018208B">
              <w:t xml:space="preserve"> the horticultural industry may choose, depending on their individual circumstances</w:t>
            </w:r>
            <w:r>
              <w:t>.</w:t>
            </w:r>
          </w:p>
          <w:p w14:paraId="5CC6D32A" w14:textId="77777777" w:rsidR="00D93AF3" w:rsidRDefault="00D93AF3" w:rsidP="009B6610">
            <w:pPr>
              <w:pStyle w:val="Table2"/>
              <w:ind w:left="77" w:firstLine="0"/>
              <w:cnfStyle w:val="000000010000" w:firstRow="0" w:lastRow="0" w:firstColumn="0" w:lastColumn="0" w:oddVBand="0" w:evenVBand="0" w:oddHBand="0" w:evenHBand="1" w:firstRowFirstColumn="0" w:firstRowLastColumn="0" w:lastRowFirstColumn="0" w:lastRowLastColumn="0"/>
            </w:pPr>
          </w:p>
          <w:p w14:paraId="6B24014C" w14:textId="20B9D41D" w:rsidR="00B46DEE" w:rsidRDefault="00B46DEE" w:rsidP="009B6610">
            <w:pPr>
              <w:pStyle w:val="Table2"/>
              <w:ind w:left="77" w:firstLine="0"/>
              <w:cnfStyle w:val="000000010000" w:firstRow="0" w:lastRow="0" w:firstColumn="0" w:lastColumn="0" w:oddVBand="0" w:evenVBand="0" w:oddHBand="0" w:evenHBand="1" w:firstRowFirstColumn="0" w:firstRowLastColumn="0" w:lastRowFirstColumn="0" w:lastRowLastColumn="0"/>
            </w:pPr>
            <w:r w:rsidRPr="0018208B">
              <w:t xml:space="preserve">FSANZ’s risk assessment demonstrates the technological justification and efficacy of treating fruit and vegetables with irradiation as a </w:t>
            </w:r>
            <w:r>
              <w:t>p</w:t>
            </w:r>
            <w:r w:rsidRPr="0018208B">
              <w:t>hytosanitary measure, whereby a minimum dose of 150 Gy can prevent the emergence of adult fruit flies in fruit and vegetables, and a minimum dose of 400 Gy is recognised as a generic treatment for all insects in all host fruit and vegetables (except adult Lepidoptera that pupate internally</w:t>
            </w:r>
            <w:r w:rsidR="003434A8">
              <w:t>)</w:t>
            </w:r>
            <w:r>
              <w:t>.</w:t>
            </w:r>
          </w:p>
          <w:p w14:paraId="5F52AAB5" w14:textId="77777777" w:rsidR="00B46DEE" w:rsidRDefault="00B46DEE" w:rsidP="009B6610">
            <w:pPr>
              <w:pStyle w:val="Table2"/>
              <w:ind w:left="77" w:firstLine="0"/>
              <w:cnfStyle w:val="000000010000" w:firstRow="0" w:lastRow="0" w:firstColumn="0" w:lastColumn="0" w:oddVBand="0" w:evenVBand="0" w:oddHBand="0" w:evenHBand="1" w:firstRowFirstColumn="0" w:firstRowLastColumn="0" w:lastRowFirstColumn="0" w:lastRowLastColumn="0"/>
            </w:pPr>
          </w:p>
          <w:p w14:paraId="37ED13D9" w14:textId="67A58CEC" w:rsidR="00B46DEE" w:rsidRPr="00125194" w:rsidRDefault="00B46DEE" w:rsidP="008F40FE">
            <w:pPr>
              <w:pStyle w:val="Table2"/>
              <w:ind w:left="77" w:firstLine="0"/>
              <w:cnfStyle w:val="000000010000" w:firstRow="0" w:lastRow="0" w:firstColumn="0" w:lastColumn="0" w:oddVBand="0" w:evenVBand="0" w:oddHBand="0" w:evenHBand="1" w:firstRowFirstColumn="0" w:firstRowLastColumn="0" w:lastRowFirstColumn="0" w:lastRowLastColumn="0"/>
            </w:pPr>
            <w:r>
              <w:t xml:space="preserve">FSANZ has been advised by the relevant quarantine authorities that irradiation is an internationally accepted quarantine measure for control of fruit fly and other insect pests and provides an effective alternative to other methods. FSANZ </w:t>
            </w:r>
            <w:r w:rsidR="00464547">
              <w:t xml:space="preserve">has been advised by industry </w:t>
            </w:r>
            <w:r>
              <w:t>that while other options exist</w:t>
            </w:r>
            <w:r w:rsidR="00464547">
              <w:t xml:space="preserve"> (including chemical-free alternatives)</w:t>
            </w:r>
            <w:r>
              <w:t>, these may be unsuitable for use in certain circumstances due to potential phytotoxicity and quality issues and require prior approval from quarantine authorities. In such circumsta</w:t>
            </w:r>
            <w:r w:rsidR="00464547">
              <w:t xml:space="preserve">nces irradiation is a feasible </w:t>
            </w:r>
            <w:r>
              <w:t>alternative.</w:t>
            </w:r>
            <w:r w:rsidR="00464547">
              <w:t xml:space="preserve"> </w:t>
            </w:r>
            <w:r w:rsidR="009A6AB0" w:rsidRPr="009A6AB0">
              <w:t>No credible evidence to the contrary was provided by submitters or located by FSANZ.</w:t>
            </w:r>
          </w:p>
        </w:tc>
      </w:tr>
      <w:tr w:rsidR="00F6228C" w:rsidRPr="00125194" w14:paraId="0F842D6D"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auto"/>
          </w:tcPr>
          <w:p w14:paraId="53D35847" w14:textId="064185CE" w:rsidR="00B46DEE" w:rsidRPr="004607A2" w:rsidRDefault="00614E7D" w:rsidP="00614E7D">
            <w:pPr>
              <w:pStyle w:val="Table2"/>
              <w:ind w:left="0" w:firstLine="0"/>
              <w:jc w:val="center"/>
              <w:rPr>
                <w:b w:val="0"/>
              </w:rPr>
            </w:pPr>
            <w:r>
              <w:rPr>
                <w:b w:val="0"/>
              </w:rPr>
              <w:t>13</w:t>
            </w:r>
          </w:p>
        </w:tc>
        <w:tc>
          <w:tcPr>
            <w:tcW w:w="4708" w:type="dxa"/>
            <w:tcBorders>
              <w:bottom w:val="single" w:sz="4" w:space="0" w:color="auto"/>
              <w:right w:val="single" w:sz="4" w:space="0" w:color="auto"/>
            </w:tcBorders>
            <w:shd w:val="clear" w:color="auto" w:fill="auto"/>
          </w:tcPr>
          <w:p w14:paraId="6DEE7D46" w14:textId="2F2734A4" w:rsidR="00B46DEE" w:rsidRPr="00B97010" w:rsidRDefault="00B46DEE" w:rsidP="009F23FB">
            <w:pPr>
              <w:pStyle w:val="Table2"/>
              <w:ind w:left="0" w:firstLine="0"/>
              <w:cnfStyle w:val="000000100000" w:firstRow="0" w:lastRow="0" w:firstColumn="0" w:lastColumn="0" w:oddVBand="0" w:evenVBand="0" w:oddHBand="1" w:evenHBand="0" w:firstRowFirstColumn="0" w:firstRowLastColumn="0" w:lastRowFirstColumn="0" w:lastRowLastColumn="0"/>
            </w:pPr>
            <w:r w:rsidRPr="00B97010">
              <w:t>Food irradiation will not eliminate the use of chemicals in crop production, rather, it will be used in conjunction with existing treatments</w:t>
            </w:r>
            <w:r w:rsidR="00464547">
              <w:t>.</w:t>
            </w:r>
          </w:p>
        </w:tc>
        <w:tc>
          <w:tcPr>
            <w:tcW w:w="2112" w:type="dxa"/>
            <w:tcBorders>
              <w:left w:val="single" w:sz="4" w:space="0" w:color="auto"/>
              <w:bottom w:val="single" w:sz="4" w:space="0" w:color="auto"/>
              <w:right w:val="single" w:sz="4" w:space="0" w:color="auto"/>
            </w:tcBorders>
            <w:shd w:val="clear" w:color="auto" w:fill="auto"/>
          </w:tcPr>
          <w:p w14:paraId="7148CC54" w14:textId="77777777" w:rsidR="00B46DEE" w:rsidRDefault="00B46DEE" w:rsidP="009F23FB">
            <w:pPr>
              <w:pStyle w:val="Table2"/>
              <w:ind w:left="0" w:firstLine="0"/>
              <w:cnfStyle w:val="000000100000" w:firstRow="0" w:lastRow="0" w:firstColumn="0" w:lastColumn="0" w:oddVBand="0" w:evenVBand="0" w:oddHBand="1" w:evenHBand="0" w:firstRowFirstColumn="0" w:firstRowLastColumn="0" w:lastRowFirstColumn="0" w:lastRowLastColumn="0"/>
            </w:pPr>
            <w:r>
              <w:t>Food Irradiation Watch/Gene Ethics</w:t>
            </w:r>
          </w:p>
          <w:p w14:paraId="10D3B3EC" w14:textId="77777777" w:rsidR="00B46DEE" w:rsidRDefault="00B46DEE" w:rsidP="009F23FB">
            <w:pPr>
              <w:pStyle w:val="Table2"/>
              <w:cnfStyle w:val="000000100000" w:firstRow="0" w:lastRow="0" w:firstColumn="0" w:lastColumn="0" w:oddVBand="0" w:evenVBand="0" w:oddHBand="1" w:evenHBand="0" w:firstRowFirstColumn="0" w:firstRowLastColumn="0" w:lastRowFirstColumn="0" w:lastRowLastColumn="0"/>
            </w:pPr>
          </w:p>
          <w:p w14:paraId="24AA0C86" w14:textId="77777777" w:rsidR="00B46DEE" w:rsidRDefault="00B46DEE" w:rsidP="009F23FB">
            <w:pPr>
              <w:pStyle w:val="Table2"/>
              <w:cnfStyle w:val="000000100000" w:firstRow="0" w:lastRow="0" w:firstColumn="0" w:lastColumn="0" w:oddVBand="0" w:evenVBand="0" w:oddHBand="1" w:evenHBand="0" w:firstRowFirstColumn="0" w:firstRowLastColumn="0" w:lastRowFirstColumn="0" w:lastRowLastColumn="0"/>
            </w:pPr>
            <w:r>
              <w:t>Private individuals</w:t>
            </w:r>
          </w:p>
          <w:p w14:paraId="2AAF3577" w14:textId="77777777" w:rsidR="00B46DEE" w:rsidRDefault="00B46DEE" w:rsidP="009F23FB">
            <w:pPr>
              <w:pStyle w:val="Table2"/>
              <w:cnfStyle w:val="000000100000" w:firstRow="0" w:lastRow="0" w:firstColumn="0" w:lastColumn="0" w:oddVBand="0" w:evenVBand="0" w:oddHBand="1" w:evenHBand="0" w:firstRowFirstColumn="0" w:firstRowLastColumn="0" w:lastRowFirstColumn="0" w:lastRowLastColumn="0"/>
            </w:pPr>
          </w:p>
          <w:p w14:paraId="1EA2E655" w14:textId="77777777" w:rsidR="00B46DEE" w:rsidRDefault="00B46DEE" w:rsidP="009F23FB">
            <w:pPr>
              <w:pStyle w:val="Table2"/>
              <w:cnfStyle w:val="000000100000" w:firstRow="0" w:lastRow="0" w:firstColumn="0" w:lastColumn="0" w:oddVBand="0" w:evenVBand="0" w:oddHBand="1" w:evenHBand="0" w:firstRowFirstColumn="0" w:firstRowLastColumn="0" w:lastRowFirstColumn="0" w:lastRowLastColumn="0"/>
            </w:pPr>
            <w:r>
              <w:t>Wiser Equity Pty Ltd</w:t>
            </w:r>
          </w:p>
        </w:tc>
        <w:tc>
          <w:tcPr>
            <w:tcW w:w="6523" w:type="dxa"/>
            <w:tcBorders>
              <w:left w:val="single" w:sz="4" w:space="0" w:color="auto"/>
              <w:bottom w:val="single" w:sz="4" w:space="0" w:color="auto"/>
            </w:tcBorders>
            <w:shd w:val="clear" w:color="auto" w:fill="auto"/>
          </w:tcPr>
          <w:p w14:paraId="44FF4198" w14:textId="064F00E7" w:rsidR="00B46DEE" w:rsidRDefault="00D7708D" w:rsidP="00D7708D">
            <w:pPr>
              <w:pStyle w:val="Table2"/>
              <w:ind w:left="77" w:firstLine="0"/>
              <w:cnfStyle w:val="000000100000" w:firstRow="0" w:lastRow="0" w:firstColumn="0" w:lastColumn="0" w:oddVBand="0" w:evenVBand="0" w:oddHBand="1" w:evenHBand="0" w:firstRowFirstColumn="0" w:firstRowLastColumn="0" w:lastRowFirstColumn="0" w:lastRowLastColumn="0"/>
            </w:pPr>
            <w:r>
              <w:t>The use of p</w:t>
            </w:r>
            <w:r w:rsidR="00B46DEE" w:rsidRPr="00E9653E">
              <w:t xml:space="preserve">hytosanitary irradiation </w:t>
            </w:r>
            <w:r>
              <w:t>is not intended to eliminate all chemical use – it is simply another treatment option for quarantine purposes</w:t>
            </w:r>
            <w:r w:rsidR="00B46DEE" w:rsidRPr="00E9653E">
              <w:t>.</w:t>
            </w:r>
            <w:r w:rsidR="00B46DEE">
              <w:t xml:space="preserve"> </w:t>
            </w:r>
            <w:r w:rsidR="00B46DEE" w:rsidRPr="0018208B">
              <w:t xml:space="preserve">FSANZ’s SD1 states that ionising radiation </w:t>
            </w:r>
            <w:r w:rsidR="00B46DEE">
              <w:t>can be a</w:t>
            </w:r>
            <w:r w:rsidR="00B46DEE" w:rsidRPr="0018208B">
              <w:t xml:space="preserve"> viable and effective </w:t>
            </w:r>
            <w:r w:rsidR="00464547">
              <w:t>alternative</w:t>
            </w:r>
            <w:r w:rsidR="00B46DEE" w:rsidRPr="0018208B">
              <w:t xml:space="preserve"> to chemical treatments, particularly in cases where such treatments have been restricted or are being phased-out. Examples include the insecticides dimethoate and fenthion, and the fumigant methyl bromide</w:t>
            </w:r>
            <w:r w:rsidR="00464547">
              <w:t xml:space="preserve"> (MeBr)</w:t>
            </w:r>
            <w:r w:rsidR="00B46DEE" w:rsidRPr="0018208B">
              <w:t xml:space="preserve">. </w:t>
            </w:r>
          </w:p>
        </w:tc>
      </w:tr>
      <w:tr w:rsidR="00F6228C" w:rsidRPr="00125194" w14:paraId="79CCE6D5" w14:textId="77777777" w:rsidTr="00523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E6EED5"/>
          </w:tcPr>
          <w:p w14:paraId="5CCF73D4" w14:textId="0D11E7D4" w:rsidR="00B46DEE" w:rsidRDefault="00614E7D" w:rsidP="00614E7D">
            <w:pPr>
              <w:pStyle w:val="Table2"/>
              <w:ind w:left="0" w:firstLine="0"/>
              <w:jc w:val="center"/>
              <w:rPr>
                <w:b w:val="0"/>
              </w:rPr>
            </w:pPr>
            <w:r>
              <w:rPr>
                <w:b w:val="0"/>
              </w:rPr>
              <w:t>14</w:t>
            </w:r>
          </w:p>
        </w:tc>
        <w:tc>
          <w:tcPr>
            <w:tcW w:w="4708" w:type="dxa"/>
            <w:tcBorders>
              <w:bottom w:val="single" w:sz="4" w:space="0" w:color="auto"/>
              <w:right w:val="single" w:sz="4" w:space="0" w:color="auto"/>
            </w:tcBorders>
            <w:shd w:val="clear" w:color="auto" w:fill="E6EED5"/>
          </w:tcPr>
          <w:p w14:paraId="1D9B85ED" w14:textId="77777777" w:rsidR="00B46DEE" w:rsidRDefault="00B46DEE" w:rsidP="009F23FB">
            <w:pPr>
              <w:pStyle w:val="Table2"/>
              <w:ind w:left="0" w:firstLine="0"/>
              <w:cnfStyle w:val="000000010000" w:firstRow="0" w:lastRow="0" w:firstColumn="0" w:lastColumn="0" w:oddVBand="0" w:evenVBand="0" w:oddHBand="0" w:evenHBand="1" w:firstRowFirstColumn="0" w:firstRowLastColumn="0" w:lastRowFirstColumn="0" w:lastRowLastColumn="0"/>
            </w:pPr>
            <w:r>
              <w:t>There is no mechanism to ensure that industry will determine or use radiation dosages for</w:t>
            </w:r>
          </w:p>
          <w:p w14:paraId="726D9CE0" w14:textId="77777777" w:rsidR="00B46DEE" w:rsidRPr="00B97010" w:rsidRDefault="00B46DEE" w:rsidP="009F23FB">
            <w:pPr>
              <w:pStyle w:val="Table2"/>
              <w:ind w:left="0" w:firstLine="0"/>
              <w:cnfStyle w:val="000000010000" w:firstRow="0" w:lastRow="0" w:firstColumn="0" w:lastColumn="0" w:oddVBand="0" w:evenVBand="0" w:oddHBand="0" w:evenHBand="1" w:firstRowFirstColumn="0" w:firstRowLastColumn="0" w:lastRowFirstColumn="0" w:lastRowLastColumn="0"/>
            </w:pPr>
            <w:r>
              <w:t>particular purposes, products, and/or pests.</w:t>
            </w:r>
          </w:p>
        </w:tc>
        <w:tc>
          <w:tcPr>
            <w:tcW w:w="2112" w:type="dxa"/>
            <w:tcBorders>
              <w:left w:val="single" w:sz="4" w:space="0" w:color="auto"/>
              <w:bottom w:val="single" w:sz="4" w:space="0" w:color="auto"/>
              <w:right w:val="single" w:sz="4" w:space="0" w:color="auto"/>
            </w:tcBorders>
            <w:shd w:val="clear" w:color="auto" w:fill="E6EED5"/>
          </w:tcPr>
          <w:p w14:paraId="72283E06" w14:textId="77777777" w:rsidR="00B46DEE" w:rsidRPr="00125194" w:rsidRDefault="00B46DEE" w:rsidP="009F23FB">
            <w:pPr>
              <w:pStyle w:val="Table2"/>
              <w:ind w:left="0" w:firstLine="0"/>
              <w:cnfStyle w:val="000000010000" w:firstRow="0" w:lastRow="0" w:firstColumn="0" w:lastColumn="0" w:oddVBand="0" w:evenVBand="0" w:oddHBand="0" w:evenHBand="1" w:firstRowFirstColumn="0" w:firstRowLastColumn="0" w:lastRowFirstColumn="0" w:lastRowLastColumn="0"/>
            </w:pPr>
            <w:r>
              <w:t>Food Irradiation Watch/Gene Ethics</w:t>
            </w:r>
          </w:p>
        </w:tc>
        <w:tc>
          <w:tcPr>
            <w:tcW w:w="6523" w:type="dxa"/>
            <w:tcBorders>
              <w:left w:val="single" w:sz="4" w:space="0" w:color="auto"/>
              <w:bottom w:val="single" w:sz="4" w:space="0" w:color="auto"/>
            </w:tcBorders>
            <w:shd w:val="clear" w:color="auto" w:fill="E6EED5"/>
          </w:tcPr>
          <w:p w14:paraId="0CE067BD" w14:textId="77777777" w:rsidR="00B46DEE" w:rsidRDefault="00B46DEE" w:rsidP="009B6610">
            <w:pPr>
              <w:pStyle w:val="Table2"/>
              <w:ind w:left="77" w:firstLine="0"/>
              <w:cnfStyle w:val="000000010000" w:firstRow="0" w:lastRow="0" w:firstColumn="0" w:lastColumn="0" w:oddVBand="0" w:evenVBand="0" w:oddHBand="0" w:evenHBand="1" w:firstRowFirstColumn="0" w:firstRowLastColumn="0" w:lastRowFirstColumn="0" w:lastRowLastColumn="0"/>
            </w:pPr>
            <w:r w:rsidRPr="008D1C93">
              <w:t>The processing of food by irradiation</w:t>
            </w:r>
            <w:r>
              <w:t xml:space="preserve"> is one of the heaviest regulated and audited treatments available to industry.</w:t>
            </w:r>
            <w:r w:rsidRPr="008D1C93">
              <w:t xml:space="preserve"> Correct dosages are managed by accurate dosimetry and maintenance of records under the requirements of Standard 1.5.3.</w:t>
            </w:r>
          </w:p>
          <w:p w14:paraId="17F8855F" w14:textId="77777777" w:rsidR="00B46DEE" w:rsidRDefault="00B46DEE" w:rsidP="009B6610">
            <w:pPr>
              <w:pStyle w:val="Table2"/>
              <w:ind w:left="77" w:firstLine="0"/>
              <w:cnfStyle w:val="000000010000" w:firstRow="0" w:lastRow="0" w:firstColumn="0" w:lastColumn="0" w:oddVBand="0" w:evenVBand="0" w:oddHBand="0" w:evenHBand="1" w:firstRowFirstColumn="0" w:firstRowLastColumn="0" w:lastRowFirstColumn="0" w:lastRowLastColumn="0"/>
            </w:pPr>
          </w:p>
          <w:p w14:paraId="34213A78" w14:textId="2B0D5984" w:rsidR="00B46DEE" w:rsidRPr="00125194" w:rsidRDefault="00B46DEE" w:rsidP="009B6610">
            <w:pPr>
              <w:pStyle w:val="Table2"/>
              <w:ind w:left="77" w:firstLine="0"/>
              <w:cnfStyle w:val="000000010000" w:firstRow="0" w:lastRow="0" w:firstColumn="0" w:lastColumn="0" w:oddVBand="0" w:evenVBand="0" w:oddHBand="0" w:evenHBand="1" w:firstRowFirstColumn="0" w:firstRowLastColumn="0" w:lastRowFirstColumn="0" w:lastRowLastColumn="0"/>
            </w:pPr>
            <w:r>
              <w:t xml:space="preserve">The application is seeking permission to use irradiation at dosages ranging from 150 Gy to 1 kGy. There is no incentive for industry to use doses that fall outside the permitted range, noting that lower doses will likely be ineffective </w:t>
            </w:r>
            <w:r w:rsidR="00DD48AC">
              <w:t xml:space="preserve">for pest disinfestation </w:t>
            </w:r>
            <w:r>
              <w:t xml:space="preserve">and higher doses may impair organoleptic properties. </w:t>
            </w:r>
          </w:p>
        </w:tc>
      </w:tr>
      <w:tr w:rsidR="00F6228C" w:rsidRPr="00125194" w14:paraId="05074B50"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auto"/>
          </w:tcPr>
          <w:p w14:paraId="44C06008" w14:textId="1B6F9A95" w:rsidR="00B46DEE" w:rsidRDefault="00614E7D" w:rsidP="00614E7D">
            <w:pPr>
              <w:pStyle w:val="Table2"/>
              <w:ind w:left="0" w:firstLine="0"/>
              <w:jc w:val="center"/>
              <w:rPr>
                <w:b w:val="0"/>
              </w:rPr>
            </w:pPr>
            <w:r>
              <w:rPr>
                <w:b w:val="0"/>
              </w:rPr>
              <w:t>15</w:t>
            </w:r>
          </w:p>
        </w:tc>
        <w:tc>
          <w:tcPr>
            <w:tcW w:w="4708" w:type="dxa"/>
            <w:tcBorders>
              <w:bottom w:val="single" w:sz="4" w:space="0" w:color="auto"/>
              <w:right w:val="single" w:sz="4" w:space="0" w:color="auto"/>
            </w:tcBorders>
            <w:shd w:val="clear" w:color="auto" w:fill="auto"/>
          </w:tcPr>
          <w:p w14:paraId="2330E70E" w14:textId="77777777" w:rsidR="00B46DEE" w:rsidRDefault="00B46DEE" w:rsidP="009F23FB">
            <w:pPr>
              <w:pStyle w:val="Table2"/>
              <w:ind w:left="0" w:firstLine="0"/>
              <w:cnfStyle w:val="000000100000" w:firstRow="0" w:lastRow="0" w:firstColumn="0" w:lastColumn="0" w:oddVBand="0" w:evenVBand="0" w:oddHBand="1" w:evenHBand="0" w:firstRowFirstColumn="0" w:firstRowLastColumn="0" w:lastRowFirstColumn="0" w:lastRowLastColumn="0"/>
            </w:pPr>
            <w:r w:rsidRPr="0096380E">
              <w:t>As microbial contamination is also treated and shelf–life is extended when produce is irradiated, what practical and routine processes exist to ensure that insect de-infestation is the sole purpose for such treatments? Are these collateral benefits of treatment not also incentives to use irradiation?</w:t>
            </w:r>
          </w:p>
        </w:tc>
        <w:tc>
          <w:tcPr>
            <w:tcW w:w="2112" w:type="dxa"/>
            <w:tcBorders>
              <w:left w:val="single" w:sz="4" w:space="0" w:color="auto"/>
              <w:bottom w:val="single" w:sz="4" w:space="0" w:color="auto"/>
              <w:right w:val="single" w:sz="4" w:space="0" w:color="auto"/>
            </w:tcBorders>
            <w:shd w:val="clear" w:color="auto" w:fill="auto"/>
          </w:tcPr>
          <w:p w14:paraId="261CB6E4" w14:textId="77777777" w:rsidR="00B46DEE" w:rsidRDefault="00B46DEE" w:rsidP="009F23FB">
            <w:pPr>
              <w:pStyle w:val="Table2"/>
              <w:ind w:left="0" w:firstLine="0"/>
              <w:cnfStyle w:val="000000100000" w:firstRow="0" w:lastRow="0" w:firstColumn="0" w:lastColumn="0" w:oddVBand="0" w:evenVBand="0" w:oddHBand="1" w:evenHBand="0" w:firstRowFirstColumn="0" w:firstRowLastColumn="0" w:lastRowFirstColumn="0" w:lastRowLastColumn="0"/>
            </w:pPr>
            <w:r>
              <w:t>Food Irradiation Watch/Gene Ethics</w:t>
            </w:r>
          </w:p>
          <w:p w14:paraId="36A10226" w14:textId="77777777" w:rsidR="00B46DEE" w:rsidRPr="00125194" w:rsidRDefault="00B46DEE" w:rsidP="009F23FB">
            <w:pPr>
              <w:pStyle w:val="Table2"/>
              <w:cnfStyle w:val="000000100000" w:firstRow="0" w:lastRow="0" w:firstColumn="0" w:lastColumn="0" w:oddVBand="0" w:evenVBand="0" w:oddHBand="1" w:evenHBand="0" w:firstRowFirstColumn="0" w:firstRowLastColumn="0" w:lastRowFirstColumn="0" w:lastRowLastColumn="0"/>
            </w:pPr>
          </w:p>
        </w:tc>
        <w:tc>
          <w:tcPr>
            <w:tcW w:w="6523" w:type="dxa"/>
            <w:tcBorders>
              <w:left w:val="single" w:sz="4" w:space="0" w:color="auto"/>
              <w:bottom w:val="single" w:sz="4" w:space="0" w:color="auto"/>
            </w:tcBorders>
            <w:shd w:val="clear" w:color="auto" w:fill="auto"/>
          </w:tcPr>
          <w:p w14:paraId="7F0D4330" w14:textId="67449969" w:rsidR="00DD48AC" w:rsidRDefault="00CD1041" w:rsidP="009B6610">
            <w:pPr>
              <w:pStyle w:val="Table2"/>
              <w:ind w:left="77" w:firstLine="0"/>
              <w:cnfStyle w:val="000000100000" w:firstRow="0" w:lastRow="0" w:firstColumn="0" w:lastColumn="0" w:oddVBand="0" w:evenVBand="0" w:oddHBand="1" w:evenHBand="0" w:firstRowFirstColumn="0" w:firstRowLastColumn="0" w:lastRowFirstColumn="0" w:lastRowLastColumn="0"/>
            </w:pPr>
            <w:r>
              <w:t xml:space="preserve">See FSANZ’s response to no. 14 above and no. 21 below. </w:t>
            </w:r>
            <w:r w:rsidR="00DD48AC">
              <w:t xml:space="preserve">Permitted phytosanitary doses are insufficient to result in microbial decontamination or any marked increase in shelf life. </w:t>
            </w:r>
          </w:p>
          <w:p w14:paraId="20526B4D" w14:textId="77777777" w:rsidR="00DD48AC" w:rsidRDefault="00DD48AC" w:rsidP="009B6610">
            <w:pPr>
              <w:pStyle w:val="Table2"/>
              <w:ind w:left="77" w:firstLine="0"/>
              <w:cnfStyle w:val="000000100000" w:firstRow="0" w:lastRow="0" w:firstColumn="0" w:lastColumn="0" w:oddVBand="0" w:evenVBand="0" w:oddHBand="1" w:evenHBand="0" w:firstRowFirstColumn="0" w:firstRowLastColumn="0" w:lastRowFirstColumn="0" w:lastRowLastColumn="0"/>
            </w:pPr>
          </w:p>
          <w:p w14:paraId="49F988F0" w14:textId="0CEC70C1" w:rsidR="00B46DEE" w:rsidRDefault="00B46DEE" w:rsidP="003F541A">
            <w:pPr>
              <w:pStyle w:val="Table2"/>
              <w:ind w:left="77" w:firstLine="0"/>
              <w:cnfStyle w:val="000000100000" w:firstRow="0" w:lastRow="0" w:firstColumn="0" w:lastColumn="0" w:oddVBand="0" w:evenVBand="0" w:oddHBand="1" w:evenHBand="0" w:firstRowFirstColumn="0" w:firstRowLastColumn="0" w:lastRowFirstColumn="0" w:lastRowLastColumn="0"/>
            </w:pPr>
          </w:p>
        </w:tc>
      </w:tr>
      <w:tr w:rsidR="00F6228C" w:rsidRPr="009B6610" w14:paraId="5E26A9A8" w14:textId="77777777" w:rsidTr="00523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right w:val="single" w:sz="4" w:space="0" w:color="auto"/>
            </w:tcBorders>
            <w:shd w:val="clear" w:color="auto" w:fill="C2D69B" w:themeFill="accent3" w:themeFillTint="99"/>
          </w:tcPr>
          <w:p w14:paraId="03E0F3AA" w14:textId="77777777" w:rsidR="00B46DEE" w:rsidRPr="009B6610" w:rsidRDefault="00B46DEE" w:rsidP="00614E7D">
            <w:pPr>
              <w:pStyle w:val="Table2"/>
              <w:ind w:left="0" w:firstLine="0"/>
              <w:jc w:val="center"/>
              <w:rPr>
                <w:b w:val="0"/>
                <w:bCs/>
                <w:sz w:val="22"/>
                <w:szCs w:val="22"/>
              </w:rPr>
            </w:pPr>
          </w:p>
        </w:tc>
        <w:tc>
          <w:tcPr>
            <w:tcW w:w="4708" w:type="dxa"/>
            <w:tcBorders>
              <w:right w:val="single" w:sz="4" w:space="0" w:color="auto"/>
            </w:tcBorders>
            <w:shd w:val="clear" w:color="auto" w:fill="C2D69B" w:themeFill="accent3" w:themeFillTint="99"/>
          </w:tcPr>
          <w:p w14:paraId="67F06BB1" w14:textId="39BAE778" w:rsidR="00B46DEE" w:rsidRPr="009B6610" w:rsidRDefault="00C8240A" w:rsidP="00C8240A">
            <w:pPr>
              <w:pStyle w:val="Table2"/>
              <w:ind w:left="0" w:firstLine="0"/>
              <w:cnfStyle w:val="000000010000" w:firstRow="0" w:lastRow="0" w:firstColumn="0" w:lastColumn="0" w:oddVBand="0" w:evenVBand="0" w:oddHBand="0" w:evenHBand="1" w:firstRowFirstColumn="0" w:firstRowLastColumn="0" w:lastRowFirstColumn="0" w:lastRowLastColumn="0"/>
              <w:rPr>
                <w:b/>
                <w:bCs w:val="0"/>
                <w:sz w:val="22"/>
                <w:szCs w:val="22"/>
              </w:rPr>
            </w:pPr>
            <w:r>
              <w:rPr>
                <w:b/>
                <w:bCs w:val="0"/>
                <w:sz w:val="22"/>
                <w:szCs w:val="22"/>
              </w:rPr>
              <w:t>L</w:t>
            </w:r>
            <w:r w:rsidR="00B46DEE" w:rsidRPr="009B6610">
              <w:rPr>
                <w:b/>
                <w:bCs w:val="0"/>
                <w:sz w:val="22"/>
                <w:szCs w:val="22"/>
              </w:rPr>
              <w:t>abelling</w:t>
            </w:r>
          </w:p>
        </w:tc>
        <w:tc>
          <w:tcPr>
            <w:tcW w:w="2112" w:type="dxa"/>
            <w:tcBorders>
              <w:left w:val="single" w:sz="4" w:space="0" w:color="auto"/>
              <w:right w:val="single" w:sz="4" w:space="0" w:color="auto"/>
            </w:tcBorders>
            <w:shd w:val="clear" w:color="auto" w:fill="C2D69B" w:themeFill="accent3" w:themeFillTint="99"/>
          </w:tcPr>
          <w:p w14:paraId="0D604237" w14:textId="77777777" w:rsidR="00B46DEE" w:rsidRPr="009B6610" w:rsidRDefault="00B46DEE" w:rsidP="009F23FB">
            <w:pPr>
              <w:pStyle w:val="Table2"/>
              <w:cnfStyle w:val="000000010000" w:firstRow="0" w:lastRow="0" w:firstColumn="0" w:lastColumn="0" w:oddVBand="0" w:evenVBand="0" w:oddHBand="0" w:evenHBand="1" w:firstRowFirstColumn="0" w:firstRowLastColumn="0" w:lastRowFirstColumn="0" w:lastRowLastColumn="0"/>
              <w:rPr>
                <w:b/>
                <w:bCs w:val="0"/>
                <w:sz w:val="22"/>
                <w:szCs w:val="22"/>
              </w:rPr>
            </w:pPr>
          </w:p>
        </w:tc>
        <w:tc>
          <w:tcPr>
            <w:tcW w:w="6523" w:type="dxa"/>
            <w:tcBorders>
              <w:left w:val="single" w:sz="4" w:space="0" w:color="auto"/>
            </w:tcBorders>
            <w:shd w:val="clear" w:color="auto" w:fill="C2D69B" w:themeFill="accent3" w:themeFillTint="99"/>
          </w:tcPr>
          <w:p w14:paraId="40D8F473" w14:textId="77777777" w:rsidR="00B46DEE" w:rsidRPr="009B6610" w:rsidRDefault="00B46DEE" w:rsidP="009B6610">
            <w:pPr>
              <w:pStyle w:val="Table2"/>
              <w:ind w:left="77" w:firstLine="0"/>
              <w:cnfStyle w:val="000000010000" w:firstRow="0" w:lastRow="0" w:firstColumn="0" w:lastColumn="0" w:oddVBand="0" w:evenVBand="0" w:oddHBand="0" w:evenHBand="1" w:firstRowFirstColumn="0" w:firstRowLastColumn="0" w:lastRowFirstColumn="0" w:lastRowLastColumn="0"/>
              <w:rPr>
                <w:b/>
                <w:bCs w:val="0"/>
                <w:sz w:val="22"/>
                <w:szCs w:val="22"/>
              </w:rPr>
            </w:pPr>
          </w:p>
        </w:tc>
      </w:tr>
      <w:tr w:rsidR="00F6228C" w:rsidRPr="00125194" w14:paraId="5C4BF772"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right w:val="single" w:sz="4" w:space="0" w:color="auto"/>
            </w:tcBorders>
          </w:tcPr>
          <w:p w14:paraId="16524705" w14:textId="5D332CFE" w:rsidR="00B46DEE" w:rsidRPr="004607A2" w:rsidRDefault="00614E7D" w:rsidP="00614E7D">
            <w:pPr>
              <w:pStyle w:val="Table2"/>
              <w:ind w:left="0" w:firstLine="0"/>
              <w:jc w:val="center"/>
              <w:rPr>
                <w:b w:val="0"/>
              </w:rPr>
            </w:pPr>
            <w:r>
              <w:rPr>
                <w:b w:val="0"/>
              </w:rPr>
              <w:t>16</w:t>
            </w:r>
          </w:p>
        </w:tc>
        <w:tc>
          <w:tcPr>
            <w:tcW w:w="4708" w:type="dxa"/>
            <w:tcBorders>
              <w:right w:val="single" w:sz="4" w:space="0" w:color="auto"/>
            </w:tcBorders>
          </w:tcPr>
          <w:p w14:paraId="6D7B4914" w14:textId="77777777" w:rsidR="00B46DEE" w:rsidRPr="00B97010" w:rsidRDefault="00B46DEE" w:rsidP="009F23FB">
            <w:pPr>
              <w:pStyle w:val="Table2"/>
              <w:ind w:left="0" w:firstLine="0"/>
              <w:cnfStyle w:val="000000100000" w:firstRow="0" w:lastRow="0" w:firstColumn="0" w:lastColumn="0" w:oddVBand="0" w:evenVBand="0" w:oddHBand="1" w:evenHBand="0" w:firstRowFirstColumn="0" w:firstRowLastColumn="0" w:lastRowFirstColumn="0" w:lastRowLastColumn="0"/>
            </w:pPr>
            <w:r w:rsidRPr="00272A7D">
              <w:t>The requirement for labelling irradiated fruit should be removed since the public health and safety of such produce is now clearly established. Labelling is an unnecessary cost for both industry and consumers to bear.</w:t>
            </w:r>
          </w:p>
        </w:tc>
        <w:tc>
          <w:tcPr>
            <w:tcW w:w="2112" w:type="dxa"/>
            <w:tcBorders>
              <w:left w:val="single" w:sz="4" w:space="0" w:color="auto"/>
              <w:right w:val="single" w:sz="4" w:space="0" w:color="auto"/>
            </w:tcBorders>
          </w:tcPr>
          <w:p w14:paraId="2DAF824C" w14:textId="77777777" w:rsidR="00B46DEE" w:rsidRPr="00125194" w:rsidRDefault="00B46DEE" w:rsidP="009F23FB">
            <w:pPr>
              <w:pStyle w:val="Table2"/>
              <w:ind w:left="0" w:firstLine="0"/>
              <w:cnfStyle w:val="000000100000" w:firstRow="0" w:lastRow="0" w:firstColumn="0" w:lastColumn="0" w:oddVBand="0" w:evenVBand="0" w:oddHBand="1" w:evenHBand="0" w:firstRowFirstColumn="0" w:firstRowLastColumn="0" w:lastRowFirstColumn="0" w:lastRowLastColumn="0"/>
            </w:pPr>
            <w:r>
              <w:t>New Zealand Food and Grocery Council</w:t>
            </w:r>
          </w:p>
        </w:tc>
        <w:tc>
          <w:tcPr>
            <w:tcW w:w="6523" w:type="dxa"/>
            <w:tcBorders>
              <w:left w:val="single" w:sz="4" w:space="0" w:color="auto"/>
            </w:tcBorders>
          </w:tcPr>
          <w:p w14:paraId="4126652B" w14:textId="1C3A27D4" w:rsidR="00B46DEE" w:rsidRDefault="00C42818" w:rsidP="009B6610">
            <w:pPr>
              <w:pStyle w:val="Table2"/>
              <w:ind w:left="77" w:firstLine="0"/>
              <w:cnfStyle w:val="000000100000" w:firstRow="0" w:lastRow="0" w:firstColumn="0" w:lastColumn="0" w:oddVBand="0" w:evenVBand="0" w:oddHBand="1" w:evenHBand="0" w:firstRowFirstColumn="0" w:firstRowLastColumn="0" w:lastRowFirstColumn="0" w:lastRowLastColumn="0"/>
            </w:pPr>
            <w:r>
              <w:t xml:space="preserve">The intent of mandatory labelling requirements for irradiated food is to enable consumers to make an informed choice. </w:t>
            </w:r>
            <w:r w:rsidR="00B46DEE">
              <w:t>In 2011</w:t>
            </w:r>
            <w:r w:rsidR="005A10C4">
              <w:t>,</w:t>
            </w:r>
            <w:r w:rsidR="00B46DEE">
              <w:t xml:space="preserve"> an independent review of labelling recommended that the requirement for mandatory labelling of irradiated food be reviewed. In their response to the recommendation, Food Regulation Ministers asked FSANZ to review the need for the mandatory labelling of irradiated food, and assess whether there is a more effective approach to communicate the safety and benefits of irradiation to consumers. In April 2017, Food </w:t>
            </w:r>
            <w:r w:rsidR="000560A9">
              <w:t xml:space="preserve">Regulation </w:t>
            </w:r>
            <w:r w:rsidR="00B46DEE">
              <w:lastRenderedPageBreak/>
              <w:t xml:space="preserve">Ministers considered FSANZ’s </w:t>
            </w:r>
            <w:hyperlink r:id="rId26" w:history="1">
              <w:r w:rsidR="000560A9" w:rsidRPr="00D61154">
                <w:rPr>
                  <w:rStyle w:val="Hyperlink"/>
                </w:rPr>
                <w:t>review report</w:t>
              </w:r>
            </w:hyperlink>
            <w:r w:rsidR="000560A9">
              <w:t xml:space="preserve"> </w:t>
            </w:r>
            <w:r w:rsidR="00B46DEE">
              <w:t>and agreed that no further action was required.</w:t>
            </w:r>
          </w:p>
          <w:p w14:paraId="7903E800" w14:textId="77777777" w:rsidR="00B46DEE" w:rsidRDefault="00B46DEE" w:rsidP="009B6610">
            <w:pPr>
              <w:pStyle w:val="Table2"/>
              <w:ind w:left="77" w:firstLine="0"/>
              <w:cnfStyle w:val="000000100000" w:firstRow="0" w:lastRow="0" w:firstColumn="0" w:lastColumn="0" w:oddVBand="0" w:evenVBand="0" w:oddHBand="1" w:evenHBand="0" w:firstRowFirstColumn="0" w:firstRowLastColumn="0" w:lastRowFirstColumn="0" w:lastRowLastColumn="0"/>
            </w:pPr>
          </w:p>
          <w:p w14:paraId="25E84FD9" w14:textId="0EE39BAC" w:rsidR="00B46DEE" w:rsidRPr="00125194" w:rsidRDefault="00C42818" w:rsidP="00C42818">
            <w:pPr>
              <w:pStyle w:val="Table2"/>
              <w:ind w:left="77" w:firstLine="0"/>
              <w:cnfStyle w:val="000000100000" w:firstRow="0" w:lastRow="0" w:firstColumn="0" w:lastColumn="0" w:oddVBand="0" w:evenVBand="0" w:oddHBand="1" w:evenHBand="0" w:firstRowFirstColumn="0" w:firstRowLastColumn="0" w:lastRowFirstColumn="0" w:lastRowLastColumn="0"/>
            </w:pPr>
            <w:r>
              <w:t>Noting the findings of this 2017 review, and as t</w:t>
            </w:r>
            <w:r w:rsidR="00B46DEE">
              <w:t xml:space="preserve">he application </w:t>
            </w:r>
            <w:r w:rsidR="00B9361D">
              <w:t>is not seeking</w:t>
            </w:r>
            <w:r w:rsidR="00B46DEE">
              <w:t xml:space="preserve"> a change to the</w:t>
            </w:r>
            <w:r>
              <w:t xml:space="preserve"> labelling</w:t>
            </w:r>
            <w:r w:rsidR="00B46DEE">
              <w:t xml:space="preserve"> requirements, removal of mandatory labelling requirements </w:t>
            </w:r>
            <w:r w:rsidR="00734F96">
              <w:t xml:space="preserve">is </w:t>
            </w:r>
            <w:r w:rsidR="00B9361D">
              <w:t xml:space="preserve">therefore </w:t>
            </w:r>
            <w:r w:rsidR="00734F96">
              <w:t>out of scope</w:t>
            </w:r>
            <w:r w:rsidR="009B4266">
              <w:t>.</w:t>
            </w:r>
          </w:p>
        </w:tc>
      </w:tr>
      <w:tr w:rsidR="00F6228C" w:rsidRPr="00125194" w14:paraId="390D3853" w14:textId="77777777" w:rsidTr="00523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right w:val="single" w:sz="4" w:space="0" w:color="auto"/>
            </w:tcBorders>
          </w:tcPr>
          <w:p w14:paraId="6960B26B" w14:textId="69C1A2D4" w:rsidR="00B46DEE" w:rsidRPr="004607A2" w:rsidRDefault="00614E7D" w:rsidP="00614E7D">
            <w:pPr>
              <w:pStyle w:val="Table2"/>
              <w:ind w:left="0" w:firstLine="0"/>
              <w:jc w:val="center"/>
              <w:rPr>
                <w:b w:val="0"/>
              </w:rPr>
            </w:pPr>
            <w:r>
              <w:rPr>
                <w:b w:val="0"/>
              </w:rPr>
              <w:lastRenderedPageBreak/>
              <w:t>17</w:t>
            </w:r>
          </w:p>
        </w:tc>
        <w:tc>
          <w:tcPr>
            <w:tcW w:w="4708" w:type="dxa"/>
            <w:tcBorders>
              <w:right w:val="single" w:sz="4" w:space="0" w:color="auto"/>
            </w:tcBorders>
          </w:tcPr>
          <w:p w14:paraId="3DA9A330" w14:textId="77777777" w:rsidR="00B46DEE" w:rsidRPr="00B97010" w:rsidRDefault="00B46DEE" w:rsidP="009F23FB">
            <w:pPr>
              <w:pStyle w:val="Table2"/>
              <w:ind w:left="0" w:firstLine="0"/>
              <w:cnfStyle w:val="000000010000" w:firstRow="0" w:lastRow="0" w:firstColumn="0" w:lastColumn="0" w:oddVBand="0" w:evenVBand="0" w:oddHBand="0" w:evenHBand="1" w:firstRowFirstColumn="0" w:firstRowLastColumn="0" w:lastRowFirstColumn="0" w:lastRowLastColumn="0"/>
            </w:pPr>
            <w:r w:rsidRPr="00B97010">
              <w:t>There is a lack of confidence around adequate labelling.</w:t>
            </w:r>
            <w:r>
              <w:t xml:space="preserve"> Issues raised by submitters included: </w:t>
            </w:r>
          </w:p>
          <w:p w14:paraId="2FE64CFE" w14:textId="77777777" w:rsidR="00B46DEE" w:rsidRPr="00B97010" w:rsidRDefault="00B46DEE" w:rsidP="009F23FB">
            <w:pPr>
              <w:pStyle w:val="Table2"/>
              <w:cnfStyle w:val="000000010000" w:firstRow="0" w:lastRow="0" w:firstColumn="0" w:lastColumn="0" w:oddVBand="0" w:evenVBand="0" w:oddHBand="0" w:evenHBand="1" w:firstRowFirstColumn="0" w:firstRowLastColumn="0" w:lastRowFirstColumn="0" w:lastRowLastColumn="0"/>
            </w:pPr>
            <w:r w:rsidRPr="00B97010">
              <w:t>•</w:t>
            </w:r>
            <w:r w:rsidRPr="00B97010">
              <w:tab/>
              <w:t>Labels and displays containing labelling information regarding irradiation need to be of a specific legibility and/or size.</w:t>
            </w:r>
          </w:p>
          <w:p w14:paraId="31247CF9" w14:textId="77777777" w:rsidR="00B46DEE" w:rsidRPr="00B97010" w:rsidRDefault="00B46DEE" w:rsidP="009F23FB">
            <w:pPr>
              <w:pStyle w:val="Table2"/>
              <w:cnfStyle w:val="000000010000" w:firstRow="0" w:lastRow="0" w:firstColumn="0" w:lastColumn="0" w:oddVBand="0" w:evenVBand="0" w:oddHBand="0" w:evenHBand="1" w:firstRowFirstColumn="0" w:firstRowLastColumn="0" w:lastRowFirstColumn="0" w:lastRowLastColumn="0"/>
            </w:pPr>
            <w:r w:rsidRPr="00B97010">
              <w:t>•</w:t>
            </w:r>
            <w:r w:rsidRPr="00B97010">
              <w:tab/>
              <w:t>The Radura symbol is not readily understood by consumers and should be mandated.</w:t>
            </w:r>
          </w:p>
          <w:p w14:paraId="5FDB27FC" w14:textId="77777777" w:rsidR="00B46DEE" w:rsidRPr="00B97010" w:rsidRDefault="00B46DEE" w:rsidP="009F23FB">
            <w:pPr>
              <w:pStyle w:val="Table2"/>
              <w:cnfStyle w:val="000000010000" w:firstRow="0" w:lastRow="0" w:firstColumn="0" w:lastColumn="0" w:oddVBand="0" w:evenVBand="0" w:oddHBand="0" w:evenHBand="1" w:firstRowFirstColumn="0" w:firstRowLastColumn="0" w:lastRowFirstColumn="0" w:lastRowLastColumn="0"/>
            </w:pPr>
            <w:r w:rsidRPr="00B97010">
              <w:t>•</w:t>
            </w:r>
            <w:r w:rsidRPr="00B97010">
              <w:tab/>
              <w:t>Labelling regulations should specify the wording for the required labelling statement.</w:t>
            </w:r>
          </w:p>
          <w:p w14:paraId="5E749374" w14:textId="77777777" w:rsidR="00103CA5" w:rsidRDefault="00B46DEE" w:rsidP="009F23FB">
            <w:pPr>
              <w:pStyle w:val="Table2"/>
              <w:ind w:left="0" w:firstLine="0"/>
              <w:cnfStyle w:val="000000010000" w:firstRow="0" w:lastRow="0" w:firstColumn="0" w:lastColumn="0" w:oddVBand="0" w:evenVBand="0" w:oddHBand="0" w:evenHBand="1" w:firstRowFirstColumn="0" w:firstRowLastColumn="0" w:lastRowFirstColumn="0" w:lastRowLastColumn="0"/>
            </w:pPr>
            <w:r w:rsidRPr="00B97010">
              <w:t xml:space="preserve">• The labelling of irradiated foods needs to be </w:t>
            </w:r>
          </w:p>
          <w:p w14:paraId="7599CBFB" w14:textId="4CBC589A" w:rsidR="00B46DEE" w:rsidRPr="00B97010" w:rsidRDefault="00103CA5" w:rsidP="009F23FB">
            <w:pPr>
              <w:pStyle w:val="Table2"/>
              <w:ind w:left="0" w:firstLine="0"/>
              <w:cnfStyle w:val="000000010000" w:firstRow="0" w:lastRow="0" w:firstColumn="0" w:lastColumn="0" w:oddVBand="0" w:evenVBand="0" w:oddHBand="0" w:evenHBand="1" w:firstRowFirstColumn="0" w:firstRowLastColumn="0" w:lastRowFirstColumn="0" w:lastRowLastColumn="0"/>
            </w:pPr>
            <w:r>
              <w:t xml:space="preserve">   </w:t>
            </w:r>
            <w:r w:rsidR="00B46DEE" w:rsidRPr="00B97010">
              <w:t>monitored and enforced more effectively.</w:t>
            </w:r>
          </w:p>
        </w:tc>
        <w:tc>
          <w:tcPr>
            <w:tcW w:w="2112" w:type="dxa"/>
            <w:tcBorders>
              <w:left w:val="single" w:sz="4" w:space="0" w:color="auto"/>
              <w:right w:val="single" w:sz="4" w:space="0" w:color="auto"/>
            </w:tcBorders>
          </w:tcPr>
          <w:p w14:paraId="2833496E"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r>
              <w:t>Private individuals</w:t>
            </w:r>
          </w:p>
          <w:p w14:paraId="5294D481"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p>
          <w:p w14:paraId="32A94702"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r w:rsidRPr="00DD7487">
              <w:t>Friends of the Earth NZ</w:t>
            </w:r>
          </w:p>
          <w:p w14:paraId="2315F204"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p>
          <w:p w14:paraId="1BF25893" w14:textId="77777777" w:rsidR="00B46DEE" w:rsidRDefault="00B46DEE" w:rsidP="009F23FB">
            <w:pPr>
              <w:pStyle w:val="Table2"/>
              <w:ind w:left="0" w:firstLine="0"/>
              <w:cnfStyle w:val="000000010000" w:firstRow="0" w:lastRow="0" w:firstColumn="0" w:lastColumn="0" w:oddVBand="0" w:evenVBand="0" w:oddHBand="0" w:evenHBand="1" w:firstRowFirstColumn="0" w:firstRowLastColumn="0" w:lastRowFirstColumn="0" w:lastRowLastColumn="0"/>
            </w:pPr>
            <w:r>
              <w:t>Food Irradiation Watch/Gene Ethics</w:t>
            </w:r>
          </w:p>
          <w:p w14:paraId="3B3CC011" w14:textId="77777777" w:rsidR="00B46DEE" w:rsidRDefault="00B46DEE" w:rsidP="009F23FB">
            <w:pPr>
              <w:pStyle w:val="Table2"/>
              <w:cnfStyle w:val="000000010000" w:firstRow="0" w:lastRow="0" w:firstColumn="0" w:lastColumn="0" w:oddVBand="0" w:evenVBand="0" w:oddHBand="0" w:evenHBand="1" w:firstRowFirstColumn="0" w:firstRowLastColumn="0" w:lastRowFirstColumn="0" w:lastRowLastColumn="0"/>
            </w:pPr>
          </w:p>
          <w:p w14:paraId="24A11CA7" w14:textId="77777777" w:rsidR="00B46DEE" w:rsidRPr="00125194" w:rsidRDefault="00B46DEE" w:rsidP="009F23FB">
            <w:pPr>
              <w:pStyle w:val="Table2"/>
              <w:cnfStyle w:val="000000010000" w:firstRow="0" w:lastRow="0" w:firstColumn="0" w:lastColumn="0" w:oddVBand="0" w:evenVBand="0" w:oddHBand="0" w:evenHBand="1" w:firstRowFirstColumn="0" w:firstRowLastColumn="0" w:lastRowFirstColumn="0" w:lastRowLastColumn="0"/>
            </w:pPr>
            <w:r>
              <w:t>Consumers SA</w:t>
            </w:r>
          </w:p>
        </w:tc>
        <w:tc>
          <w:tcPr>
            <w:tcW w:w="6523" w:type="dxa"/>
            <w:tcBorders>
              <w:left w:val="single" w:sz="4" w:space="0" w:color="auto"/>
            </w:tcBorders>
          </w:tcPr>
          <w:p w14:paraId="1C065D07" w14:textId="69BDE205" w:rsidR="00B46DEE" w:rsidRDefault="009B4266" w:rsidP="00F877F6">
            <w:pPr>
              <w:pStyle w:val="Table2"/>
              <w:ind w:left="77" w:firstLine="0"/>
              <w:cnfStyle w:val="000000010000" w:firstRow="0" w:lastRow="0" w:firstColumn="0" w:lastColumn="0" w:oddVBand="0" w:evenVBand="0" w:oddHBand="0" w:evenHBand="1" w:firstRowFirstColumn="0" w:firstRowLastColumn="0" w:lastRowFirstColumn="0" w:lastRowLastColumn="0"/>
            </w:pPr>
            <w:r>
              <w:t xml:space="preserve">FSANZ </w:t>
            </w:r>
            <w:r w:rsidR="001A0036">
              <w:t xml:space="preserve">has no evidence that consumers find the legibility of information relating to irradiated food to be problematic and </w:t>
            </w:r>
            <w:r>
              <w:t xml:space="preserve">considers existing generic legibility requirements </w:t>
            </w:r>
            <w:r w:rsidR="00C42818">
              <w:t xml:space="preserve">that currently apply </w:t>
            </w:r>
            <w:r w:rsidR="00E648C8">
              <w:t>are</w:t>
            </w:r>
            <w:r w:rsidR="001A0036">
              <w:t xml:space="preserve"> </w:t>
            </w:r>
            <w:r>
              <w:t>appropriate</w:t>
            </w:r>
            <w:r w:rsidR="001A0036">
              <w:t xml:space="preserve">. </w:t>
            </w:r>
          </w:p>
          <w:p w14:paraId="3B2B8AAB" w14:textId="77777777" w:rsidR="00B46DEE" w:rsidRDefault="00B46DEE" w:rsidP="009B6610">
            <w:pPr>
              <w:pStyle w:val="Table2"/>
              <w:ind w:left="77" w:firstLine="0"/>
              <w:cnfStyle w:val="000000010000" w:firstRow="0" w:lastRow="0" w:firstColumn="0" w:lastColumn="0" w:oddVBand="0" w:evenVBand="0" w:oddHBand="0" w:evenHBand="1" w:firstRowFirstColumn="0" w:firstRowLastColumn="0" w:lastRowFirstColumn="0" w:lastRowLastColumn="0"/>
            </w:pPr>
          </w:p>
          <w:p w14:paraId="74C0B528" w14:textId="044C9154" w:rsidR="00B46DEE" w:rsidRDefault="003C342B" w:rsidP="003C342B">
            <w:pPr>
              <w:pStyle w:val="Table2"/>
              <w:ind w:left="77" w:firstLine="0"/>
              <w:cnfStyle w:val="000000010000" w:firstRow="0" w:lastRow="0" w:firstColumn="0" w:lastColumn="0" w:oddVBand="0" w:evenVBand="0" w:oddHBand="0" w:evenHBand="1" w:firstRowFirstColumn="0" w:firstRowLastColumn="0" w:lastRowFirstColumn="0" w:lastRowLastColumn="0"/>
            </w:pPr>
            <w:r>
              <w:t>As noted in Section 4.1, use of the Radura symbol is voluntary. This is consistent with the Codex Standard for Labelling of Pre-Packaged Foods (C</w:t>
            </w:r>
            <w:r w:rsidR="00DF3EDA">
              <w:t xml:space="preserve">XS </w:t>
            </w:r>
            <w:r>
              <w:t xml:space="preserve">1-1985), which permits the optional use of the Radura symbol. </w:t>
            </w:r>
          </w:p>
          <w:p w14:paraId="1FF2B0E6" w14:textId="77777777" w:rsidR="00B46DEE" w:rsidRDefault="00B46DEE" w:rsidP="009B6610">
            <w:pPr>
              <w:pStyle w:val="Table2"/>
              <w:ind w:left="77" w:firstLine="0"/>
              <w:cnfStyle w:val="000000010000" w:firstRow="0" w:lastRow="0" w:firstColumn="0" w:lastColumn="0" w:oddVBand="0" w:evenVBand="0" w:oddHBand="0" w:evenHBand="1" w:firstRowFirstColumn="0" w:firstRowLastColumn="0" w:lastRowFirstColumn="0" w:lastRowLastColumn="0"/>
            </w:pPr>
          </w:p>
          <w:p w14:paraId="3C793AA7" w14:textId="57384FE5" w:rsidR="00B46DEE" w:rsidRDefault="003C342B" w:rsidP="009B6610">
            <w:pPr>
              <w:pStyle w:val="Table2"/>
              <w:ind w:left="77" w:firstLine="0"/>
              <w:cnfStyle w:val="000000010000" w:firstRow="0" w:lastRow="0" w:firstColumn="0" w:lastColumn="0" w:oddVBand="0" w:evenVBand="0" w:oddHBand="0" w:evenHBand="1" w:firstRowFirstColumn="0" w:firstRowLastColumn="0" w:lastRowFirstColumn="0" w:lastRowLastColumn="0"/>
            </w:pPr>
            <w:r>
              <w:t>Similarly, the Code does not prescribe the wording of the mand</w:t>
            </w:r>
            <w:r w:rsidR="00DF3EDA">
              <w:t xml:space="preserve">atory statement. This is </w:t>
            </w:r>
            <w:r w:rsidR="00DF3EDA" w:rsidRPr="00101AA2">
              <w:t xml:space="preserve">consistent </w:t>
            </w:r>
            <w:r w:rsidR="00DF3EDA">
              <w:t xml:space="preserve">with </w:t>
            </w:r>
            <w:r w:rsidR="00DF3EDA" w:rsidRPr="00101AA2">
              <w:t>C</w:t>
            </w:r>
            <w:r w:rsidR="00DF3EDA">
              <w:t xml:space="preserve">XS </w:t>
            </w:r>
            <w:r w:rsidR="00DF3EDA" w:rsidRPr="00101AA2">
              <w:t>1-1985</w:t>
            </w:r>
            <w:r w:rsidR="00DF3EDA">
              <w:t xml:space="preserve"> which specifies a written statement indicating the food has been treated with ionising radiation, but </w:t>
            </w:r>
            <w:r w:rsidR="00DF3EDA" w:rsidRPr="00101AA2">
              <w:t xml:space="preserve"> does not specify the words to be used. </w:t>
            </w:r>
          </w:p>
          <w:p w14:paraId="11CBDD01" w14:textId="77777777" w:rsidR="00B46DEE" w:rsidRDefault="00B46DEE" w:rsidP="009B6610">
            <w:pPr>
              <w:pStyle w:val="Table2"/>
              <w:ind w:left="77" w:firstLine="0"/>
              <w:cnfStyle w:val="000000010000" w:firstRow="0" w:lastRow="0" w:firstColumn="0" w:lastColumn="0" w:oddVBand="0" w:evenVBand="0" w:oddHBand="0" w:evenHBand="1" w:firstRowFirstColumn="0" w:firstRowLastColumn="0" w:lastRowFirstColumn="0" w:lastRowLastColumn="0"/>
            </w:pPr>
          </w:p>
          <w:p w14:paraId="54EA3C04" w14:textId="2F9E3EEE" w:rsidR="00B46DEE" w:rsidRPr="00125194" w:rsidRDefault="005B5B13" w:rsidP="00352C5B">
            <w:pPr>
              <w:pStyle w:val="Table2"/>
              <w:ind w:left="77" w:firstLine="0"/>
              <w:cnfStyle w:val="000000010000" w:firstRow="0" w:lastRow="0" w:firstColumn="0" w:lastColumn="0" w:oddVBand="0" w:evenVBand="0" w:oddHBand="0" w:evenHBand="1" w:firstRowFirstColumn="0" w:firstRowLastColumn="0" w:lastRowFirstColumn="0" w:lastRowLastColumn="0"/>
            </w:pPr>
            <w:r>
              <w:t>M</w:t>
            </w:r>
            <w:r w:rsidRPr="0002382E">
              <w:t xml:space="preserve">onitoring and enforcement </w:t>
            </w:r>
            <w:r>
              <w:t xml:space="preserve">of compliance with </w:t>
            </w:r>
            <w:r w:rsidR="00A979C3">
              <w:t>Code</w:t>
            </w:r>
            <w:r>
              <w:t xml:space="preserve"> requirements is </w:t>
            </w:r>
            <w:r w:rsidR="00FB0326" w:rsidRPr="0002382E">
              <w:t>the responsibility of the relevant enforcement agencies in each Australian state and territory and New Zealand.</w:t>
            </w:r>
            <w:r>
              <w:t xml:space="preserve"> </w:t>
            </w:r>
          </w:p>
        </w:tc>
      </w:tr>
      <w:tr w:rsidR="00F6228C" w:rsidRPr="00125194" w14:paraId="47229935"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tcPr>
          <w:p w14:paraId="6855B785" w14:textId="310F0300" w:rsidR="00C8240A" w:rsidRPr="004607A2" w:rsidRDefault="00614E7D" w:rsidP="00614E7D">
            <w:pPr>
              <w:pStyle w:val="Table2"/>
              <w:ind w:left="0" w:firstLine="0"/>
              <w:jc w:val="center"/>
              <w:rPr>
                <w:b w:val="0"/>
              </w:rPr>
            </w:pPr>
            <w:r>
              <w:rPr>
                <w:b w:val="0"/>
              </w:rPr>
              <w:t>18</w:t>
            </w:r>
          </w:p>
        </w:tc>
        <w:tc>
          <w:tcPr>
            <w:tcW w:w="4708" w:type="dxa"/>
            <w:tcBorders>
              <w:bottom w:val="single" w:sz="4" w:space="0" w:color="auto"/>
              <w:right w:val="single" w:sz="4" w:space="0" w:color="auto"/>
            </w:tcBorders>
          </w:tcPr>
          <w:p w14:paraId="5D670C92" w14:textId="77777777" w:rsidR="00C8240A" w:rsidRDefault="00C8240A" w:rsidP="00C8240A">
            <w:pPr>
              <w:pStyle w:val="Table2"/>
              <w:ind w:left="0" w:firstLine="0"/>
              <w:cnfStyle w:val="000000100000" w:firstRow="0" w:lastRow="0" w:firstColumn="0" w:lastColumn="0" w:oddVBand="0" w:evenVBand="0" w:oddHBand="1" w:evenHBand="0" w:firstRowFirstColumn="0" w:firstRowLastColumn="0" w:lastRowFirstColumn="0" w:lastRowLastColumn="0"/>
            </w:pPr>
            <w:r>
              <w:t xml:space="preserve">One </w:t>
            </w:r>
            <w:r w:rsidRPr="00272A7D">
              <w:t xml:space="preserve">submitter recommends clarification of the term ‘fresh’ as it applies to fruits and vegetables, by way of a definition or reference to a </w:t>
            </w:r>
            <w:r>
              <w:t>definition [in the drafting]</w:t>
            </w:r>
            <w:r w:rsidRPr="00272A7D">
              <w:t>. In the absence of criteria that delineates ‘fresh’, there could be confusion</w:t>
            </w:r>
            <w:r>
              <w:t xml:space="preserve"> amongst consumers and industry</w:t>
            </w:r>
            <w:r w:rsidRPr="00272A7D">
              <w:t xml:space="preserve"> regarding what are the intrinsic or extrinsic physicochemical attributes of the specific fruits and vegetables that define them as fresh.</w:t>
            </w:r>
          </w:p>
          <w:p w14:paraId="555A2D95" w14:textId="77777777" w:rsidR="00C8240A" w:rsidRDefault="00C8240A" w:rsidP="00C8240A">
            <w:pPr>
              <w:pStyle w:val="Table2"/>
              <w:cnfStyle w:val="000000100000" w:firstRow="0" w:lastRow="0" w:firstColumn="0" w:lastColumn="0" w:oddVBand="0" w:evenVBand="0" w:oddHBand="1" w:evenHBand="0" w:firstRowFirstColumn="0" w:firstRowLastColumn="0" w:lastRowFirstColumn="0" w:lastRowLastColumn="0"/>
            </w:pPr>
          </w:p>
          <w:p w14:paraId="3B6E5417" w14:textId="3F902646" w:rsidR="00C8240A" w:rsidRPr="00B97010" w:rsidRDefault="00C8240A" w:rsidP="0040025E">
            <w:pPr>
              <w:pStyle w:val="Table2"/>
              <w:ind w:left="0" w:firstLine="0"/>
              <w:cnfStyle w:val="000000100000" w:firstRow="0" w:lastRow="0" w:firstColumn="0" w:lastColumn="0" w:oddVBand="0" w:evenVBand="0" w:oddHBand="1" w:evenHBand="0" w:firstRowFirstColumn="0" w:firstRowLastColumn="0" w:lastRowFirstColumn="0" w:lastRowLastColumn="0"/>
            </w:pPr>
            <w:r>
              <w:t>Other submitters were of the view that the</w:t>
            </w:r>
            <w:r w:rsidRPr="00C368EF">
              <w:t xml:space="preserve"> marketing and labelling of irradiated food as ‘fresh’ raises issues regarding false and misleading representations. Irradiated produce </w:t>
            </w:r>
            <w:r w:rsidR="0040025E">
              <w:t>is</w:t>
            </w:r>
            <w:r w:rsidRPr="00C368EF">
              <w:t xml:space="preserve"> intentionally and significantly altered and should not be described or marketed as fresh.</w:t>
            </w:r>
            <w:r w:rsidRPr="00272A7D">
              <w:tab/>
            </w:r>
          </w:p>
        </w:tc>
        <w:tc>
          <w:tcPr>
            <w:tcW w:w="2112" w:type="dxa"/>
            <w:tcBorders>
              <w:left w:val="single" w:sz="4" w:space="0" w:color="auto"/>
              <w:bottom w:val="single" w:sz="4" w:space="0" w:color="auto"/>
              <w:right w:val="single" w:sz="4" w:space="0" w:color="auto"/>
            </w:tcBorders>
          </w:tcPr>
          <w:p w14:paraId="58AAF567" w14:textId="77777777" w:rsidR="00C8240A" w:rsidRDefault="00C8240A" w:rsidP="00C8240A">
            <w:pPr>
              <w:pStyle w:val="Table2"/>
              <w:ind w:left="0" w:firstLine="0"/>
              <w:cnfStyle w:val="000000100000" w:firstRow="0" w:lastRow="0" w:firstColumn="0" w:lastColumn="0" w:oddVBand="0" w:evenVBand="0" w:oddHBand="1" w:evenHBand="0" w:firstRowFirstColumn="0" w:firstRowLastColumn="0" w:lastRowFirstColumn="0" w:lastRowLastColumn="0"/>
            </w:pPr>
            <w:r w:rsidRPr="00272A7D">
              <w:t>Food Safety Standards and Regulation, Health Protection Branch, Department of Health, Queensland</w:t>
            </w:r>
          </w:p>
          <w:p w14:paraId="3195636F" w14:textId="77777777" w:rsidR="00C8240A" w:rsidRDefault="00C8240A" w:rsidP="00C8240A">
            <w:pPr>
              <w:pStyle w:val="Table2"/>
              <w:cnfStyle w:val="000000100000" w:firstRow="0" w:lastRow="0" w:firstColumn="0" w:lastColumn="0" w:oddVBand="0" w:evenVBand="0" w:oddHBand="1" w:evenHBand="0" w:firstRowFirstColumn="0" w:firstRowLastColumn="0" w:lastRowFirstColumn="0" w:lastRowLastColumn="0"/>
            </w:pPr>
          </w:p>
          <w:p w14:paraId="4B146C32" w14:textId="77777777" w:rsidR="00C8240A" w:rsidRDefault="00C8240A" w:rsidP="00C8240A">
            <w:pPr>
              <w:pStyle w:val="Table2"/>
              <w:ind w:left="0" w:firstLine="0"/>
              <w:cnfStyle w:val="000000100000" w:firstRow="0" w:lastRow="0" w:firstColumn="0" w:lastColumn="0" w:oddVBand="0" w:evenVBand="0" w:oddHBand="1" w:evenHBand="0" w:firstRowFirstColumn="0" w:firstRowLastColumn="0" w:lastRowFirstColumn="0" w:lastRowLastColumn="0"/>
            </w:pPr>
            <w:r>
              <w:t>Food Irradiation Watch/Gene Ethics</w:t>
            </w:r>
          </w:p>
          <w:p w14:paraId="69878FF4" w14:textId="77777777" w:rsidR="00C8240A" w:rsidRDefault="00C8240A" w:rsidP="00C8240A">
            <w:pPr>
              <w:pStyle w:val="Table2"/>
              <w:cnfStyle w:val="000000100000" w:firstRow="0" w:lastRow="0" w:firstColumn="0" w:lastColumn="0" w:oddVBand="0" w:evenVBand="0" w:oddHBand="1" w:evenHBand="0" w:firstRowFirstColumn="0" w:firstRowLastColumn="0" w:lastRowFirstColumn="0" w:lastRowLastColumn="0"/>
            </w:pPr>
          </w:p>
          <w:p w14:paraId="129CC9FB" w14:textId="10AA8306" w:rsidR="00C8240A" w:rsidRDefault="00C8240A" w:rsidP="00C8240A">
            <w:pPr>
              <w:pStyle w:val="Table2"/>
              <w:cnfStyle w:val="000000100000" w:firstRow="0" w:lastRow="0" w:firstColumn="0" w:lastColumn="0" w:oddVBand="0" w:evenVBand="0" w:oddHBand="1" w:evenHBand="0" w:firstRowFirstColumn="0" w:firstRowLastColumn="0" w:lastRowFirstColumn="0" w:lastRowLastColumn="0"/>
            </w:pPr>
            <w:r>
              <w:t>Private individual</w:t>
            </w:r>
          </w:p>
        </w:tc>
        <w:tc>
          <w:tcPr>
            <w:tcW w:w="6523" w:type="dxa"/>
            <w:tcBorders>
              <w:left w:val="single" w:sz="4" w:space="0" w:color="auto"/>
              <w:bottom w:val="single" w:sz="4" w:space="0" w:color="auto"/>
            </w:tcBorders>
          </w:tcPr>
          <w:p w14:paraId="282DFCAC" w14:textId="7B7FE740" w:rsidR="00C8240A" w:rsidRDefault="00FB0326" w:rsidP="00C8240A">
            <w:pPr>
              <w:pStyle w:val="Table2"/>
              <w:ind w:left="77" w:firstLine="0"/>
              <w:cnfStyle w:val="000000100000" w:firstRow="0" w:lastRow="0" w:firstColumn="0" w:lastColumn="0" w:oddVBand="0" w:evenVBand="0" w:oddHBand="1" w:evenHBand="0" w:firstRowFirstColumn="0" w:firstRowLastColumn="0" w:lastRowFirstColumn="0" w:lastRowLastColumn="0"/>
            </w:pPr>
            <w:r>
              <w:t xml:space="preserve">The </w:t>
            </w:r>
            <w:r w:rsidR="00C8240A">
              <w:t xml:space="preserve">term ‘fresh’ </w:t>
            </w:r>
            <w:r>
              <w:t xml:space="preserve">has been used in this application to </w:t>
            </w:r>
            <w:r w:rsidR="00C8240A">
              <w:t>clarif</w:t>
            </w:r>
            <w:r>
              <w:t>y</w:t>
            </w:r>
            <w:r w:rsidR="00C8240A">
              <w:t xml:space="preserve"> the types of produce items that may be permitted for irradiation. </w:t>
            </w:r>
          </w:p>
          <w:p w14:paraId="07431CBE" w14:textId="77777777" w:rsidR="00C8240A" w:rsidRDefault="00C8240A" w:rsidP="00C8240A">
            <w:pPr>
              <w:pStyle w:val="Table2"/>
              <w:ind w:left="77" w:firstLine="0"/>
              <w:cnfStyle w:val="000000100000" w:firstRow="0" w:lastRow="0" w:firstColumn="0" w:lastColumn="0" w:oddVBand="0" w:evenVBand="0" w:oddHBand="1" w:evenHBand="0" w:firstRowFirstColumn="0" w:firstRowLastColumn="0" w:lastRowFirstColumn="0" w:lastRowLastColumn="0"/>
            </w:pPr>
          </w:p>
          <w:p w14:paraId="34B258BA" w14:textId="16B63863" w:rsidR="00C8240A" w:rsidRDefault="00C8240A" w:rsidP="00184817">
            <w:pPr>
              <w:pStyle w:val="Table2"/>
              <w:ind w:left="77" w:firstLine="0"/>
              <w:cnfStyle w:val="000000100000" w:firstRow="0" w:lastRow="0" w:firstColumn="0" w:lastColumn="0" w:oddVBand="0" w:evenVBand="0" w:oddHBand="1" w:evenHBand="0" w:firstRowFirstColumn="0" w:firstRowLastColumn="0" w:lastRowFirstColumn="0" w:lastRowLastColumn="0"/>
            </w:pPr>
            <w:r>
              <w:t xml:space="preserve">The Code does not regulate </w:t>
            </w:r>
            <w:r w:rsidR="00FB0326">
              <w:t xml:space="preserve">the use of </w:t>
            </w:r>
            <w:r>
              <w:t>‘fresh’ claims made on food</w:t>
            </w:r>
            <w:r w:rsidR="00FB0326">
              <w:t xml:space="preserve"> labels</w:t>
            </w:r>
            <w:r>
              <w:t>.</w:t>
            </w:r>
            <w:r w:rsidR="007E5DC1">
              <w:t xml:space="preserve"> Suppliers </w:t>
            </w:r>
            <w:r w:rsidR="007E5DC1" w:rsidRPr="007E5DC1">
              <w:t>can voluntarily provide this kind of information on the labels of their food products, as long as the information is not false, misleading or deceptive under consumer</w:t>
            </w:r>
            <w:r w:rsidR="0093063A">
              <w:t xml:space="preserve"> protection </w:t>
            </w:r>
            <w:r w:rsidR="007E5DC1">
              <w:t>legislation</w:t>
            </w:r>
            <w:r w:rsidR="0093063A">
              <w:t>. I</w:t>
            </w:r>
            <w:r w:rsidR="0093063A" w:rsidRPr="0093063A">
              <w:t>n Australia, the Australian Competition and Consumer Commission (ACCC) enforces the Competition an</w:t>
            </w:r>
            <w:r w:rsidR="0040025E">
              <w:t>d Consumer Act 2010 (Cth); and s</w:t>
            </w:r>
            <w:r w:rsidR="0093063A" w:rsidRPr="0093063A">
              <w:t xml:space="preserve">tates and </w:t>
            </w:r>
            <w:r w:rsidR="0040025E">
              <w:t>t</w:t>
            </w:r>
            <w:r w:rsidR="0093063A" w:rsidRPr="0093063A">
              <w:t>erritories enforce their own consumer protection legislation. In New Zealand, the New Zealand Commerce Commission (NZCC) enforces the Fair Trading Act 1986 (NZ)</w:t>
            </w:r>
            <w:r w:rsidR="0040025E">
              <w:t>,</w:t>
            </w:r>
            <w:r w:rsidR="0093063A" w:rsidRPr="0093063A">
              <w:t xml:space="preserve"> which prohibits false and m</w:t>
            </w:r>
            <w:r w:rsidR="0093063A">
              <w:t>isleading conduct by businesses.</w:t>
            </w:r>
            <w:r w:rsidRPr="00C368EF">
              <w:t xml:space="preserve"> </w:t>
            </w:r>
          </w:p>
          <w:p w14:paraId="23FD4A92" w14:textId="2E31E6B6" w:rsidR="00C8240A" w:rsidRPr="00784B7D" w:rsidRDefault="00C8240A" w:rsidP="00C8240A">
            <w:pPr>
              <w:pStyle w:val="Table2"/>
              <w:ind w:left="77" w:firstLine="0"/>
              <w:cnfStyle w:val="000000100000" w:firstRow="0" w:lastRow="0" w:firstColumn="0" w:lastColumn="0" w:oddVBand="0" w:evenVBand="0" w:oddHBand="1" w:evenHBand="0" w:firstRowFirstColumn="0" w:firstRowLastColumn="0" w:lastRowFirstColumn="0" w:lastRowLastColumn="0"/>
            </w:pPr>
          </w:p>
        </w:tc>
      </w:tr>
      <w:tr w:rsidR="00F6228C" w:rsidRPr="00184817" w14:paraId="2BEE5324" w14:textId="77777777" w:rsidTr="00523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C2D69B" w:themeFill="accent3" w:themeFillTint="99"/>
          </w:tcPr>
          <w:p w14:paraId="4B369DF2" w14:textId="77777777" w:rsidR="00B46DEE" w:rsidRPr="00184817" w:rsidRDefault="00B46DEE" w:rsidP="009F23FB">
            <w:pPr>
              <w:pStyle w:val="Table2"/>
              <w:ind w:left="0" w:firstLine="0"/>
              <w:rPr>
                <w:b w:val="0"/>
                <w:bCs/>
                <w:sz w:val="22"/>
                <w:szCs w:val="22"/>
              </w:rPr>
            </w:pPr>
          </w:p>
        </w:tc>
        <w:tc>
          <w:tcPr>
            <w:tcW w:w="4708" w:type="dxa"/>
            <w:tcBorders>
              <w:bottom w:val="single" w:sz="4" w:space="0" w:color="auto"/>
              <w:right w:val="single" w:sz="4" w:space="0" w:color="auto"/>
            </w:tcBorders>
            <w:shd w:val="clear" w:color="auto" w:fill="C2D69B" w:themeFill="accent3" w:themeFillTint="99"/>
          </w:tcPr>
          <w:p w14:paraId="095625EF" w14:textId="44427FCD" w:rsidR="00B46DEE" w:rsidRPr="00184817" w:rsidRDefault="00B46DEE" w:rsidP="009F23FB">
            <w:pPr>
              <w:pStyle w:val="Table2"/>
              <w:ind w:left="0" w:firstLine="0"/>
              <w:cnfStyle w:val="000000010000" w:firstRow="0" w:lastRow="0" w:firstColumn="0" w:lastColumn="0" w:oddVBand="0" w:evenVBand="0" w:oddHBand="0" w:evenHBand="1" w:firstRowFirstColumn="0" w:firstRowLastColumn="0" w:lastRowFirstColumn="0" w:lastRowLastColumn="0"/>
              <w:rPr>
                <w:b/>
                <w:bCs w:val="0"/>
                <w:sz w:val="22"/>
                <w:szCs w:val="22"/>
              </w:rPr>
            </w:pPr>
            <w:r w:rsidRPr="00184817">
              <w:rPr>
                <w:b/>
                <w:bCs w:val="0"/>
                <w:sz w:val="22"/>
                <w:szCs w:val="22"/>
              </w:rPr>
              <w:t>Monitoring</w:t>
            </w:r>
            <w:r w:rsidR="003F541A">
              <w:rPr>
                <w:b/>
                <w:bCs w:val="0"/>
                <w:sz w:val="22"/>
                <w:szCs w:val="22"/>
              </w:rPr>
              <w:t>, surveillance</w:t>
            </w:r>
            <w:r w:rsidRPr="00184817">
              <w:rPr>
                <w:b/>
                <w:bCs w:val="0"/>
                <w:sz w:val="22"/>
                <w:szCs w:val="22"/>
              </w:rPr>
              <w:t xml:space="preserve"> and enforcement </w:t>
            </w:r>
          </w:p>
        </w:tc>
        <w:tc>
          <w:tcPr>
            <w:tcW w:w="2112" w:type="dxa"/>
            <w:tcBorders>
              <w:left w:val="single" w:sz="4" w:space="0" w:color="auto"/>
              <w:bottom w:val="single" w:sz="4" w:space="0" w:color="auto"/>
              <w:right w:val="single" w:sz="4" w:space="0" w:color="auto"/>
            </w:tcBorders>
            <w:shd w:val="clear" w:color="auto" w:fill="C2D69B" w:themeFill="accent3" w:themeFillTint="99"/>
          </w:tcPr>
          <w:p w14:paraId="48F9ED35" w14:textId="77777777" w:rsidR="00B46DEE" w:rsidRPr="00184817" w:rsidRDefault="00B46DEE" w:rsidP="009F23FB">
            <w:pPr>
              <w:pStyle w:val="Table2"/>
              <w:cnfStyle w:val="000000010000" w:firstRow="0" w:lastRow="0" w:firstColumn="0" w:lastColumn="0" w:oddVBand="0" w:evenVBand="0" w:oddHBand="0" w:evenHBand="1" w:firstRowFirstColumn="0" w:firstRowLastColumn="0" w:lastRowFirstColumn="0" w:lastRowLastColumn="0"/>
              <w:rPr>
                <w:b/>
                <w:bCs w:val="0"/>
                <w:sz w:val="22"/>
                <w:szCs w:val="22"/>
              </w:rPr>
            </w:pPr>
          </w:p>
        </w:tc>
        <w:tc>
          <w:tcPr>
            <w:tcW w:w="6523" w:type="dxa"/>
            <w:tcBorders>
              <w:left w:val="single" w:sz="4" w:space="0" w:color="auto"/>
              <w:bottom w:val="single" w:sz="4" w:space="0" w:color="auto"/>
            </w:tcBorders>
            <w:shd w:val="clear" w:color="auto" w:fill="C2D69B" w:themeFill="accent3" w:themeFillTint="99"/>
          </w:tcPr>
          <w:p w14:paraId="370DEA9D" w14:textId="77777777" w:rsidR="00B46DEE" w:rsidRPr="00184817" w:rsidRDefault="00B46DEE" w:rsidP="009B6610">
            <w:pPr>
              <w:pStyle w:val="Table2"/>
              <w:ind w:left="77" w:firstLine="0"/>
              <w:cnfStyle w:val="000000010000" w:firstRow="0" w:lastRow="0" w:firstColumn="0" w:lastColumn="0" w:oddVBand="0" w:evenVBand="0" w:oddHBand="0" w:evenHBand="1" w:firstRowFirstColumn="0" w:firstRowLastColumn="0" w:lastRowFirstColumn="0" w:lastRowLastColumn="0"/>
              <w:rPr>
                <w:b/>
                <w:bCs w:val="0"/>
                <w:sz w:val="22"/>
                <w:szCs w:val="22"/>
              </w:rPr>
            </w:pPr>
          </w:p>
        </w:tc>
      </w:tr>
      <w:tr w:rsidR="00F6228C" w:rsidRPr="00125194" w14:paraId="2855DE64"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auto"/>
          </w:tcPr>
          <w:p w14:paraId="70F85834" w14:textId="28C5BD22" w:rsidR="00B46DEE" w:rsidRPr="004607A2" w:rsidRDefault="00614E7D" w:rsidP="00614E7D">
            <w:pPr>
              <w:pStyle w:val="Table2"/>
              <w:ind w:left="0" w:firstLine="0"/>
              <w:jc w:val="center"/>
              <w:rPr>
                <w:b w:val="0"/>
              </w:rPr>
            </w:pPr>
            <w:r>
              <w:rPr>
                <w:b w:val="0"/>
              </w:rPr>
              <w:t>19</w:t>
            </w:r>
          </w:p>
        </w:tc>
        <w:tc>
          <w:tcPr>
            <w:tcW w:w="4708" w:type="dxa"/>
            <w:tcBorders>
              <w:bottom w:val="single" w:sz="4" w:space="0" w:color="auto"/>
              <w:right w:val="single" w:sz="4" w:space="0" w:color="auto"/>
            </w:tcBorders>
            <w:shd w:val="clear" w:color="auto" w:fill="auto"/>
          </w:tcPr>
          <w:p w14:paraId="391A5F78" w14:textId="0BFB908C" w:rsidR="00B46DEE" w:rsidRPr="00B97010" w:rsidRDefault="00B46DEE" w:rsidP="003F541A">
            <w:pPr>
              <w:pStyle w:val="FSTableText"/>
              <w:cnfStyle w:val="000000100000" w:firstRow="0" w:lastRow="0" w:firstColumn="0" w:lastColumn="0" w:oddVBand="0" w:evenVBand="0" w:oddHBand="1" w:evenHBand="0" w:firstRowFirstColumn="0" w:firstRowLastColumn="0" w:lastRowFirstColumn="0" w:lastRowLastColumn="0"/>
            </w:pPr>
            <w:r w:rsidRPr="00CF5878">
              <w:rPr>
                <w:sz w:val="18"/>
                <w:szCs w:val="18"/>
              </w:rPr>
              <w:t>There is scant evidence of any monitoring of the personal or public health impacts of the consumption of irradiated produce. Indeed, “consumption data are not available.” Therefore, suggesting that food irradiation has been proven safe – without any kind of surveillance system – is scientifically indefensible</w:t>
            </w:r>
            <w:r w:rsidRPr="00340FD5">
              <w:rPr>
                <w:b/>
                <w:sz w:val="18"/>
                <w:szCs w:val="18"/>
              </w:rPr>
              <w:t>.</w:t>
            </w:r>
          </w:p>
        </w:tc>
        <w:tc>
          <w:tcPr>
            <w:tcW w:w="2112" w:type="dxa"/>
            <w:tcBorders>
              <w:left w:val="single" w:sz="4" w:space="0" w:color="auto"/>
              <w:bottom w:val="single" w:sz="4" w:space="0" w:color="auto"/>
              <w:right w:val="single" w:sz="4" w:space="0" w:color="auto"/>
            </w:tcBorders>
            <w:shd w:val="clear" w:color="auto" w:fill="auto"/>
          </w:tcPr>
          <w:p w14:paraId="43CD5BF5" w14:textId="77777777" w:rsidR="00B46DEE" w:rsidRPr="00340FD5" w:rsidRDefault="00B46DEE" w:rsidP="009F23FB">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340FD5">
              <w:rPr>
                <w:sz w:val="18"/>
                <w:szCs w:val="18"/>
              </w:rPr>
              <w:t>Food Irradiation Watch/Gene Ethics</w:t>
            </w:r>
          </w:p>
          <w:p w14:paraId="384D9CEC" w14:textId="77777777" w:rsidR="00B46DEE" w:rsidRPr="00340FD5" w:rsidRDefault="00B46DEE" w:rsidP="009F23FB">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1489D830" w14:textId="77777777" w:rsidR="00B46DEE" w:rsidRPr="00125194" w:rsidRDefault="00B46DEE" w:rsidP="009F23FB">
            <w:pPr>
              <w:pStyle w:val="Table2"/>
              <w:cnfStyle w:val="000000100000" w:firstRow="0" w:lastRow="0" w:firstColumn="0" w:lastColumn="0" w:oddVBand="0" w:evenVBand="0" w:oddHBand="1" w:evenHBand="0" w:firstRowFirstColumn="0" w:firstRowLastColumn="0" w:lastRowFirstColumn="0" w:lastRowLastColumn="0"/>
            </w:pPr>
            <w:r w:rsidRPr="00340FD5">
              <w:rPr>
                <w:szCs w:val="18"/>
              </w:rPr>
              <w:t>Private individual</w:t>
            </w:r>
          </w:p>
        </w:tc>
        <w:tc>
          <w:tcPr>
            <w:tcW w:w="6523" w:type="dxa"/>
            <w:tcBorders>
              <w:left w:val="single" w:sz="4" w:space="0" w:color="auto"/>
              <w:bottom w:val="single" w:sz="4" w:space="0" w:color="auto"/>
            </w:tcBorders>
            <w:shd w:val="clear" w:color="auto" w:fill="auto"/>
          </w:tcPr>
          <w:p w14:paraId="3D7D7A69" w14:textId="0CE259BA" w:rsidR="003F541A" w:rsidRDefault="00B46DEE" w:rsidP="007748A8">
            <w:pPr>
              <w:pStyle w:val="FSTableText"/>
              <w:ind w:left="77"/>
              <w:cnfStyle w:val="000000100000" w:firstRow="0" w:lastRow="0" w:firstColumn="0" w:lastColumn="0" w:oddVBand="0" w:evenVBand="0" w:oddHBand="1" w:evenHBand="0" w:firstRowFirstColumn="0" w:firstRowLastColumn="0" w:lastRowFirstColumn="0" w:lastRowLastColumn="0"/>
              <w:rPr>
                <w:sz w:val="18"/>
                <w:szCs w:val="18"/>
              </w:rPr>
            </w:pPr>
            <w:r w:rsidRPr="00340FD5">
              <w:rPr>
                <w:sz w:val="18"/>
                <w:szCs w:val="18"/>
              </w:rPr>
              <w:t>There is a long history of safe use of ionising radiation for foodstuffs both in Australia and internationally.</w:t>
            </w:r>
            <w:r>
              <w:rPr>
                <w:sz w:val="18"/>
                <w:szCs w:val="18"/>
              </w:rPr>
              <w:t xml:space="preserve"> </w:t>
            </w:r>
            <w:r w:rsidR="003F541A" w:rsidRPr="003F541A">
              <w:rPr>
                <w:sz w:val="18"/>
                <w:szCs w:val="18"/>
              </w:rPr>
              <w:t xml:space="preserve">The outcomes of FSANZ’s most recent assessment for </w:t>
            </w:r>
            <w:r w:rsidR="003F541A">
              <w:rPr>
                <w:sz w:val="18"/>
                <w:szCs w:val="18"/>
              </w:rPr>
              <w:t xml:space="preserve">Application </w:t>
            </w:r>
            <w:r w:rsidR="003F541A" w:rsidRPr="003F541A">
              <w:rPr>
                <w:sz w:val="18"/>
                <w:szCs w:val="18"/>
              </w:rPr>
              <w:t xml:space="preserve">A1193 indicate that there are no new public health or safety considerations that need to be addressed. </w:t>
            </w:r>
          </w:p>
          <w:p w14:paraId="0BE14597" w14:textId="77777777" w:rsidR="003F541A" w:rsidRDefault="003F541A" w:rsidP="007748A8">
            <w:pPr>
              <w:pStyle w:val="FSTableText"/>
              <w:ind w:left="77"/>
              <w:cnfStyle w:val="000000100000" w:firstRow="0" w:lastRow="0" w:firstColumn="0" w:lastColumn="0" w:oddVBand="0" w:evenVBand="0" w:oddHBand="1" w:evenHBand="0" w:firstRowFirstColumn="0" w:firstRowLastColumn="0" w:lastRowFirstColumn="0" w:lastRowLastColumn="0"/>
              <w:rPr>
                <w:sz w:val="18"/>
                <w:szCs w:val="18"/>
              </w:rPr>
            </w:pPr>
          </w:p>
          <w:p w14:paraId="26B8FA42" w14:textId="77777777" w:rsidR="003F541A" w:rsidRDefault="003F541A" w:rsidP="007748A8">
            <w:pPr>
              <w:pStyle w:val="FSTableText"/>
              <w:ind w:left="77"/>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w:t>
            </w:r>
            <w:r w:rsidR="00B46DEE" w:rsidRPr="00340FD5">
              <w:rPr>
                <w:sz w:val="18"/>
                <w:szCs w:val="18"/>
              </w:rPr>
              <w:t>iets composed entirely of irradiated food have been consumed for protracted periods by astronauts and by patients with severe immunodeficiencies</w:t>
            </w:r>
            <w:r w:rsidR="00B46DEE">
              <w:rPr>
                <w:sz w:val="18"/>
                <w:szCs w:val="18"/>
              </w:rPr>
              <w:t xml:space="preserve"> with no adverse effects</w:t>
            </w:r>
            <w:r w:rsidR="00B46DEE" w:rsidRPr="00340FD5">
              <w:rPr>
                <w:sz w:val="18"/>
                <w:szCs w:val="18"/>
              </w:rPr>
              <w:t>.</w:t>
            </w:r>
          </w:p>
          <w:p w14:paraId="27EEDA76" w14:textId="77777777" w:rsidR="003F541A" w:rsidRDefault="003F541A" w:rsidP="007748A8">
            <w:pPr>
              <w:pStyle w:val="FSTableText"/>
              <w:ind w:left="77"/>
              <w:cnfStyle w:val="000000100000" w:firstRow="0" w:lastRow="0" w:firstColumn="0" w:lastColumn="0" w:oddVBand="0" w:evenVBand="0" w:oddHBand="1" w:evenHBand="0" w:firstRowFirstColumn="0" w:firstRowLastColumn="0" w:lastRowFirstColumn="0" w:lastRowLastColumn="0"/>
              <w:rPr>
                <w:sz w:val="18"/>
                <w:szCs w:val="18"/>
              </w:rPr>
            </w:pPr>
          </w:p>
          <w:p w14:paraId="73D75E9F" w14:textId="27A92616" w:rsidR="008E63DE" w:rsidRPr="003F541A" w:rsidRDefault="008E63DE" w:rsidP="000B3340">
            <w:pPr>
              <w:pStyle w:val="FSTableText"/>
              <w:ind w:left="77"/>
              <w:cnfStyle w:val="000000100000" w:firstRow="0" w:lastRow="0" w:firstColumn="0" w:lastColumn="0" w:oddVBand="0" w:evenVBand="0" w:oddHBand="1" w:evenHBand="0" w:firstRowFirstColumn="0" w:firstRowLastColumn="0" w:lastRowFirstColumn="0" w:lastRowLastColumn="0"/>
              <w:rPr>
                <w:sz w:val="18"/>
                <w:szCs w:val="18"/>
              </w:rPr>
            </w:pPr>
            <w:r w:rsidRPr="008E63DE">
              <w:rPr>
                <w:sz w:val="18"/>
                <w:szCs w:val="18"/>
              </w:rPr>
              <w:t xml:space="preserve">Nutrient intakes of the population are monitored over time via national nutrition surveys. Using a combination of consumption data obtained from survey respondents, and food composition data from national food composition databases, these surveys can be used to determine dietary intakes, the foods contributing to nutrient intakes and any inadequate or excess intakes of nutrients in the population. National food composition databases are compiled and updated over time, with updates focussing on commonly consumed foods that are major contributors to population nutrient intakes. National food composition databases contain the best available evidence of the nutrient content of the food supply at that point in time. </w:t>
            </w:r>
            <w:r w:rsidR="003F541A" w:rsidRPr="003F541A">
              <w:rPr>
                <w:sz w:val="18"/>
                <w:szCs w:val="18"/>
              </w:rPr>
              <w:t xml:space="preserve"> Existing national food composition databases do not include </w:t>
            </w:r>
            <w:r w:rsidR="0040025E">
              <w:rPr>
                <w:sz w:val="18"/>
                <w:szCs w:val="18"/>
              </w:rPr>
              <w:t xml:space="preserve">a discrete set of </w:t>
            </w:r>
            <w:r w:rsidR="003F541A" w:rsidRPr="003F541A">
              <w:rPr>
                <w:sz w:val="18"/>
                <w:szCs w:val="18"/>
              </w:rPr>
              <w:t xml:space="preserve">nutrient data on irradiated produce for use in national nutrition surveys at this point in time, likely due to </w:t>
            </w:r>
            <w:r w:rsidR="003F541A">
              <w:rPr>
                <w:sz w:val="18"/>
                <w:szCs w:val="18"/>
              </w:rPr>
              <w:t xml:space="preserve">the </w:t>
            </w:r>
            <w:r w:rsidR="003F541A" w:rsidRPr="003F541A">
              <w:rPr>
                <w:sz w:val="18"/>
                <w:szCs w:val="18"/>
              </w:rPr>
              <w:t>limited availability</w:t>
            </w:r>
            <w:r w:rsidR="003F541A">
              <w:rPr>
                <w:sz w:val="18"/>
                <w:szCs w:val="18"/>
              </w:rPr>
              <w:t xml:space="preserve"> of such produce</w:t>
            </w:r>
            <w:r w:rsidR="003F541A" w:rsidRPr="003F541A">
              <w:rPr>
                <w:sz w:val="18"/>
                <w:szCs w:val="18"/>
              </w:rPr>
              <w:t>.</w:t>
            </w:r>
            <w:r>
              <w:rPr>
                <w:sz w:val="18"/>
                <w:szCs w:val="18"/>
              </w:rPr>
              <w:t xml:space="preserve"> National food composition databases will continue to be updated over time with contemporaneous data that reflects changes in the nutrient content of fresh produce, including any changes resulting from more irradiated produce being part of that food supply.</w:t>
            </w:r>
          </w:p>
        </w:tc>
      </w:tr>
      <w:tr w:rsidR="00F6228C" w:rsidRPr="00125194" w14:paraId="6AC038AF" w14:textId="77777777" w:rsidTr="00523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E6EED5"/>
          </w:tcPr>
          <w:p w14:paraId="01417A13" w14:textId="3EA20CA3" w:rsidR="00B46DEE" w:rsidRPr="00614E7D" w:rsidRDefault="00614E7D" w:rsidP="00614E7D">
            <w:pPr>
              <w:pStyle w:val="Table2"/>
              <w:ind w:left="0" w:firstLine="0"/>
              <w:jc w:val="center"/>
              <w:rPr>
                <w:b w:val="0"/>
              </w:rPr>
            </w:pPr>
            <w:r w:rsidRPr="00614E7D">
              <w:rPr>
                <w:b w:val="0"/>
              </w:rPr>
              <w:t>20</w:t>
            </w:r>
          </w:p>
        </w:tc>
        <w:tc>
          <w:tcPr>
            <w:tcW w:w="4708" w:type="dxa"/>
            <w:tcBorders>
              <w:bottom w:val="single" w:sz="4" w:space="0" w:color="auto"/>
              <w:right w:val="single" w:sz="4" w:space="0" w:color="auto"/>
            </w:tcBorders>
            <w:shd w:val="clear" w:color="auto" w:fill="E6EED5"/>
          </w:tcPr>
          <w:p w14:paraId="47F4D2EA" w14:textId="77777777" w:rsidR="00B46DEE" w:rsidRPr="00B97010" w:rsidRDefault="00B46DEE" w:rsidP="009F23FB">
            <w:pPr>
              <w:pStyle w:val="Table2"/>
              <w:ind w:left="0" w:firstLine="0"/>
              <w:cnfStyle w:val="000000010000" w:firstRow="0" w:lastRow="0" w:firstColumn="0" w:lastColumn="0" w:oddVBand="0" w:evenVBand="0" w:oddHBand="0" w:evenHBand="1" w:firstRowFirstColumn="0" w:firstRowLastColumn="0" w:lastRowFirstColumn="0" w:lastRowLastColumn="0"/>
              <w:rPr>
                <w:b/>
              </w:rPr>
            </w:pPr>
            <w:r w:rsidRPr="0002382E">
              <w:t>Without a strict monitoring and enforcement regime, there are no guarantees that food will not be irradiated for other than what is permitted, for example, to extend shelf life; to remove pathogenic microbial contamination; or to sterilize produce, for distributor convenience or marketing advantage.</w:t>
            </w:r>
          </w:p>
        </w:tc>
        <w:tc>
          <w:tcPr>
            <w:tcW w:w="2112" w:type="dxa"/>
            <w:tcBorders>
              <w:left w:val="single" w:sz="4" w:space="0" w:color="auto"/>
              <w:bottom w:val="single" w:sz="4" w:space="0" w:color="auto"/>
              <w:right w:val="single" w:sz="4" w:space="0" w:color="auto"/>
            </w:tcBorders>
            <w:shd w:val="clear" w:color="auto" w:fill="E6EED5"/>
          </w:tcPr>
          <w:p w14:paraId="164C34B3" w14:textId="77777777" w:rsidR="00B46DEE" w:rsidRPr="00125194" w:rsidRDefault="00B46DEE" w:rsidP="009F23FB">
            <w:pPr>
              <w:pStyle w:val="Table2"/>
              <w:ind w:left="0" w:firstLine="0"/>
              <w:cnfStyle w:val="000000010000" w:firstRow="0" w:lastRow="0" w:firstColumn="0" w:lastColumn="0" w:oddVBand="0" w:evenVBand="0" w:oddHBand="0" w:evenHBand="1" w:firstRowFirstColumn="0" w:firstRowLastColumn="0" w:lastRowFirstColumn="0" w:lastRowLastColumn="0"/>
            </w:pPr>
            <w:r w:rsidRPr="0002382E">
              <w:t>Food Irradiation Watch/Gene Ethics</w:t>
            </w:r>
          </w:p>
        </w:tc>
        <w:tc>
          <w:tcPr>
            <w:tcW w:w="6523" w:type="dxa"/>
            <w:tcBorders>
              <w:left w:val="single" w:sz="4" w:space="0" w:color="auto"/>
              <w:bottom w:val="single" w:sz="4" w:space="0" w:color="auto"/>
            </w:tcBorders>
            <w:shd w:val="clear" w:color="auto" w:fill="E6EED5"/>
          </w:tcPr>
          <w:p w14:paraId="048E863B" w14:textId="3DEB4465" w:rsidR="00B46DEE" w:rsidRPr="00125194" w:rsidRDefault="00C44227" w:rsidP="00352C5B">
            <w:pPr>
              <w:pStyle w:val="Table2"/>
              <w:ind w:left="77" w:firstLine="0"/>
              <w:cnfStyle w:val="000000010000" w:firstRow="0" w:lastRow="0" w:firstColumn="0" w:lastColumn="0" w:oddVBand="0" w:evenVBand="0" w:oddHBand="0" w:evenHBand="1" w:firstRowFirstColumn="0" w:firstRowLastColumn="0" w:lastRowFirstColumn="0" w:lastRowLastColumn="0"/>
            </w:pPr>
            <w:r>
              <w:t>As mentioned</w:t>
            </w:r>
            <w:r w:rsidR="00352C5B">
              <w:t xml:space="preserve"> in FSANZ’s response to no. 17</w:t>
            </w:r>
            <w:r w:rsidR="00FC7586">
              <w:t xml:space="preserve"> above, m</w:t>
            </w:r>
            <w:r w:rsidR="00FC7586" w:rsidRPr="0002382E">
              <w:t xml:space="preserve">onitoring and enforcement </w:t>
            </w:r>
            <w:r w:rsidR="00352C5B">
              <w:t xml:space="preserve">of compliance with Code requirements </w:t>
            </w:r>
            <w:r w:rsidR="00FC7586">
              <w:t xml:space="preserve">is </w:t>
            </w:r>
            <w:r w:rsidR="00FC7586" w:rsidRPr="0002382E">
              <w:t xml:space="preserve">the responsibility of the </w:t>
            </w:r>
            <w:r w:rsidR="00FC7586">
              <w:t>jurisdictions</w:t>
            </w:r>
            <w:r>
              <w:t xml:space="preserve">. </w:t>
            </w:r>
          </w:p>
        </w:tc>
      </w:tr>
      <w:tr w:rsidR="00F6228C" w:rsidRPr="00125194" w14:paraId="35D3CBC6" w14:textId="77777777" w:rsidTr="001025B3">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auto"/>
          </w:tcPr>
          <w:p w14:paraId="6B4B74B4" w14:textId="4CA06F32" w:rsidR="00B46DEE" w:rsidRPr="00614E7D" w:rsidRDefault="00614E7D" w:rsidP="00614E7D">
            <w:pPr>
              <w:pStyle w:val="Table2"/>
              <w:ind w:left="0" w:firstLine="0"/>
              <w:jc w:val="center"/>
              <w:rPr>
                <w:b w:val="0"/>
              </w:rPr>
            </w:pPr>
            <w:r w:rsidRPr="00614E7D">
              <w:rPr>
                <w:b w:val="0"/>
              </w:rPr>
              <w:t>21</w:t>
            </w:r>
          </w:p>
        </w:tc>
        <w:tc>
          <w:tcPr>
            <w:tcW w:w="4708" w:type="dxa"/>
            <w:tcBorders>
              <w:bottom w:val="single" w:sz="4" w:space="0" w:color="auto"/>
              <w:right w:val="single" w:sz="4" w:space="0" w:color="auto"/>
            </w:tcBorders>
            <w:shd w:val="clear" w:color="auto" w:fill="auto"/>
          </w:tcPr>
          <w:p w14:paraId="48C90325" w14:textId="77777777" w:rsidR="00B46DEE" w:rsidRPr="00B97010" w:rsidRDefault="00B46DEE" w:rsidP="009F23FB">
            <w:pPr>
              <w:pStyle w:val="Table2"/>
              <w:ind w:left="0" w:firstLine="0"/>
              <w:cnfStyle w:val="000000100000" w:firstRow="0" w:lastRow="0" w:firstColumn="0" w:lastColumn="0" w:oddVBand="0" w:evenVBand="0" w:oddHBand="1" w:evenHBand="0" w:firstRowFirstColumn="0" w:firstRowLastColumn="0" w:lastRowFirstColumn="0" w:lastRowLastColumn="0"/>
            </w:pPr>
            <w:r w:rsidRPr="00C84F33">
              <w:t>There is no simple, reliable and affordable test for irradiated foods and so it may be difficult for state and local authorities to monitor produce in the marketplace, to assess the dose used, or to enforce the labelling requirements.</w:t>
            </w:r>
          </w:p>
        </w:tc>
        <w:tc>
          <w:tcPr>
            <w:tcW w:w="2112" w:type="dxa"/>
            <w:tcBorders>
              <w:left w:val="single" w:sz="4" w:space="0" w:color="auto"/>
              <w:bottom w:val="single" w:sz="4" w:space="0" w:color="auto"/>
              <w:right w:val="single" w:sz="4" w:space="0" w:color="auto"/>
            </w:tcBorders>
            <w:shd w:val="clear" w:color="auto" w:fill="auto"/>
          </w:tcPr>
          <w:p w14:paraId="628A6FB1" w14:textId="77777777" w:rsidR="00B46DEE" w:rsidRPr="00125194" w:rsidRDefault="00B46DEE" w:rsidP="009F23FB">
            <w:pPr>
              <w:pStyle w:val="Table2"/>
              <w:ind w:left="0" w:firstLine="0"/>
              <w:cnfStyle w:val="000000100000" w:firstRow="0" w:lastRow="0" w:firstColumn="0" w:lastColumn="0" w:oddVBand="0" w:evenVBand="0" w:oddHBand="1" w:evenHBand="0" w:firstRowFirstColumn="0" w:firstRowLastColumn="0" w:lastRowFirstColumn="0" w:lastRowLastColumn="0"/>
            </w:pPr>
            <w:r w:rsidRPr="00C84F33">
              <w:t>Food Irradiation Watch/Gene Ethics</w:t>
            </w:r>
          </w:p>
        </w:tc>
        <w:tc>
          <w:tcPr>
            <w:tcW w:w="6523" w:type="dxa"/>
            <w:tcBorders>
              <w:left w:val="single" w:sz="4" w:space="0" w:color="auto"/>
              <w:bottom w:val="single" w:sz="4" w:space="0" w:color="auto"/>
            </w:tcBorders>
            <w:shd w:val="clear" w:color="auto" w:fill="auto"/>
          </w:tcPr>
          <w:p w14:paraId="25154414" w14:textId="110E127C" w:rsidR="00D82CEE" w:rsidRDefault="00D82CEE" w:rsidP="00F877F6">
            <w:pPr>
              <w:pStyle w:val="Table2"/>
              <w:ind w:left="0" w:firstLine="0"/>
              <w:cnfStyle w:val="000000100000" w:firstRow="0" w:lastRow="0" w:firstColumn="0" w:lastColumn="0" w:oddVBand="0" w:evenVBand="0" w:oddHBand="1" w:evenHBand="0" w:firstRowFirstColumn="0" w:firstRowLastColumn="0" w:lastRowFirstColumn="0" w:lastRowLastColumn="0"/>
            </w:pPr>
            <w:r>
              <w:t>M</w:t>
            </w:r>
            <w:r w:rsidRPr="0002382E">
              <w:t xml:space="preserve">onitoring and enforcement </w:t>
            </w:r>
            <w:r>
              <w:t xml:space="preserve">of compliance with Code requirements is </w:t>
            </w:r>
            <w:r w:rsidRPr="0002382E">
              <w:t xml:space="preserve">the responsibility of the </w:t>
            </w:r>
            <w:r>
              <w:t xml:space="preserve">jurisdictions. </w:t>
            </w:r>
          </w:p>
          <w:p w14:paraId="336943AE" w14:textId="77777777" w:rsidR="00D82CEE" w:rsidRDefault="00D82CEE" w:rsidP="00F877F6">
            <w:pPr>
              <w:pStyle w:val="Table2"/>
              <w:ind w:left="0" w:firstLine="0"/>
              <w:cnfStyle w:val="000000100000" w:firstRow="0" w:lastRow="0" w:firstColumn="0" w:lastColumn="0" w:oddVBand="0" w:evenVBand="0" w:oddHBand="1" w:evenHBand="0" w:firstRowFirstColumn="0" w:firstRowLastColumn="0" w:lastRowFirstColumn="0" w:lastRowLastColumn="0"/>
            </w:pPr>
          </w:p>
          <w:p w14:paraId="334CCF42" w14:textId="63B9B578" w:rsidR="00FC7586" w:rsidRDefault="00D82CEE" w:rsidP="00F877F6">
            <w:pPr>
              <w:pStyle w:val="Table2"/>
              <w:ind w:left="0" w:firstLine="0"/>
              <w:cnfStyle w:val="000000100000" w:firstRow="0" w:lastRow="0" w:firstColumn="0" w:lastColumn="0" w:oddVBand="0" w:evenVBand="0" w:oddHBand="1" w:evenHBand="0" w:firstRowFirstColumn="0" w:firstRowLastColumn="0" w:lastRowFirstColumn="0" w:lastRowLastColumn="0"/>
            </w:pPr>
            <w:r>
              <w:t>Various methods</w:t>
            </w:r>
            <w:r w:rsidR="00F877F6">
              <w:t xml:space="preserve"> </w:t>
            </w:r>
            <w:r>
              <w:t xml:space="preserve">exist for </w:t>
            </w:r>
            <w:r w:rsidR="00F877F6">
              <w:t xml:space="preserve">detection </w:t>
            </w:r>
            <w:r w:rsidR="005A10C4">
              <w:t xml:space="preserve">of </w:t>
            </w:r>
            <w:r w:rsidR="00F877F6">
              <w:t xml:space="preserve">irradiated foods. </w:t>
            </w:r>
          </w:p>
          <w:p w14:paraId="670DC390" w14:textId="77777777" w:rsidR="00FC7586" w:rsidRDefault="00FC7586" w:rsidP="00F877F6">
            <w:pPr>
              <w:pStyle w:val="Table2"/>
              <w:ind w:left="0" w:firstLine="0"/>
              <w:cnfStyle w:val="000000100000" w:firstRow="0" w:lastRow="0" w:firstColumn="0" w:lastColumn="0" w:oddVBand="0" w:evenVBand="0" w:oddHBand="1" w:evenHBand="0" w:firstRowFirstColumn="0" w:firstRowLastColumn="0" w:lastRowFirstColumn="0" w:lastRowLastColumn="0"/>
            </w:pPr>
          </w:p>
          <w:p w14:paraId="73EBBD8D" w14:textId="0E34786E" w:rsidR="00B46DEE" w:rsidRPr="00125194" w:rsidRDefault="00F877F6">
            <w:pPr>
              <w:pStyle w:val="Table2"/>
              <w:ind w:left="0" w:firstLine="0"/>
              <w:cnfStyle w:val="000000100000" w:firstRow="0" w:lastRow="0" w:firstColumn="0" w:lastColumn="0" w:oddVBand="0" w:evenVBand="0" w:oddHBand="1" w:evenHBand="0" w:firstRowFirstColumn="0" w:firstRowLastColumn="0" w:lastRowFirstColumn="0" w:lastRowLastColumn="0"/>
            </w:pPr>
            <w:r>
              <w:t>Current detection methods for irradiated food are able to detect whether a food has been irradiated or not, but cannot accurately measure absorbed doses as the changes that irradiation induces in foods are minimal.</w:t>
            </w:r>
            <w:r w:rsidR="00D82CEE">
              <w:t xml:space="preserve"> However, the </w:t>
            </w:r>
            <w:r>
              <w:t xml:space="preserve">dose </w:t>
            </w:r>
            <w:r w:rsidR="00D82CEE">
              <w:t xml:space="preserve">is </w:t>
            </w:r>
            <w:r>
              <w:t>established and controlled by accurate dosimetry and maintenance of records by irradiation facilities under the existing state/territory or New Zealand irradiation licensing requirements and maintenance of records requirements under Standard 1.5.3 of the Code.</w:t>
            </w:r>
          </w:p>
        </w:tc>
      </w:tr>
      <w:tr w:rsidR="00F6228C" w:rsidRPr="00125194" w14:paraId="73C8863D" w14:textId="77777777" w:rsidTr="00523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C2D69B" w:themeFill="accent3" w:themeFillTint="99"/>
          </w:tcPr>
          <w:p w14:paraId="51E5AAC2" w14:textId="77777777" w:rsidR="00481F2E" w:rsidRPr="004607A2" w:rsidRDefault="00481F2E" w:rsidP="009F23FB">
            <w:pPr>
              <w:pStyle w:val="Table2"/>
              <w:ind w:left="0" w:firstLine="0"/>
              <w:rPr>
                <w:b w:val="0"/>
              </w:rPr>
            </w:pPr>
          </w:p>
        </w:tc>
        <w:tc>
          <w:tcPr>
            <w:tcW w:w="4708" w:type="dxa"/>
            <w:tcBorders>
              <w:bottom w:val="single" w:sz="4" w:space="0" w:color="auto"/>
              <w:right w:val="single" w:sz="4" w:space="0" w:color="auto"/>
            </w:tcBorders>
            <w:shd w:val="clear" w:color="auto" w:fill="C2D69B" w:themeFill="accent3" w:themeFillTint="99"/>
          </w:tcPr>
          <w:p w14:paraId="72D4BE46" w14:textId="0FEB43A6" w:rsidR="00481F2E" w:rsidRPr="00C84F33" w:rsidRDefault="00481F2E" w:rsidP="009F23FB">
            <w:pPr>
              <w:pStyle w:val="Table2"/>
              <w:ind w:left="0" w:firstLine="0"/>
              <w:cnfStyle w:val="000000010000" w:firstRow="0" w:lastRow="0" w:firstColumn="0" w:lastColumn="0" w:oddVBand="0" w:evenVBand="0" w:oddHBand="0" w:evenHBand="1" w:firstRowFirstColumn="0" w:firstRowLastColumn="0" w:lastRowFirstColumn="0" w:lastRowLastColumn="0"/>
            </w:pPr>
            <w:r w:rsidRPr="00481F2E">
              <w:rPr>
                <w:b/>
                <w:sz w:val="22"/>
                <w:szCs w:val="22"/>
              </w:rPr>
              <w:t>Freshness/Quality</w:t>
            </w:r>
          </w:p>
        </w:tc>
        <w:tc>
          <w:tcPr>
            <w:tcW w:w="2112" w:type="dxa"/>
            <w:tcBorders>
              <w:left w:val="single" w:sz="4" w:space="0" w:color="auto"/>
              <w:bottom w:val="single" w:sz="4" w:space="0" w:color="auto"/>
              <w:right w:val="single" w:sz="4" w:space="0" w:color="auto"/>
            </w:tcBorders>
            <w:shd w:val="clear" w:color="auto" w:fill="C2D69B" w:themeFill="accent3" w:themeFillTint="99"/>
          </w:tcPr>
          <w:p w14:paraId="66946F8D" w14:textId="77777777" w:rsidR="00481F2E" w:rsidRPr="00C84F33" w:rsidRDefault="00481F2E" w:rsidP="009F23FB">
            <w:pPr>
              <w:pStyle w:val="Table2"/>
              <w:ind w:left="0" w:firstLine="0"/>
              <w:cnfStyle w:val="000000010000" w:firstRow="0" w:lastRow="0" w:firstColumn="0" w:lastColumn="0" w:oddVBand="0" w:evenVBand="0" w:oddHBand="0" w:evenHBand="1" w:firstRowFirstColumn="0" w:firstRowLastColumn="0" w:lastRowFirstColumn="0" w:lastRowLastColumn="0"/>
            </w:pPr>
          </w:p>
        </w:tc>
        <w:tc>
          <w:tcPr>
            <w:tcW w:w="6523" w:type="dxa"/>
            <w:tcBorders>
              <w:left w:val="single" w:sz="4" w:space="0" w:color="auto"/>
              <w:bottom w:val="single" w:sz="4" w:space="0" w:color="auto"/>
            </w:tcBorders>
            <w:shd w:val="clear" w:color="auto" w:fill="C2D69B" w:themeFill="accent3" w:themeFillTint="99"/>
          </w:tcPr>
          <w:p w14:paraId="67885241" w14:textId="77777777" w:rsidR="00481F2E" w:rsidRPr="00C84F33" w:rsidRDefault="00481F2E" w:rsidP="009B6610">
            <w:pPr>
              <w:pStyle w:val="Table2"/>
              <w:ind w:left="77" w:firstLine="0"/>
              <w:cnfStyle w:val="000000010000" w:firstRow="0" w:lastRow="0" w:firstColumn="0" w:lastColumn="0" w:oddVBand="0" w:evenVBand="0" w:oddHBand="0" w:evenHBand="1" w:firstRowFirstColumn="0" w:firstRowLastColumn="0" w:lastRowFirstColumn="0" w:lastRowLastColumn="0"/>
            </w:pPr>
          </w:p>
        </w:tc>
      </w:tr>
      <w:tr w:rsidR="00F6228C" w:rsidRPr="00125194" w14:paraId="00F9A668"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tcPr>
          <w:p w14:paraId="752C3DE1" w14:textId="31D86747" w:rsidR="00481F2E" w:rsidRDefault="00614E7D" w:rsidP="00614E7D">
            <w:pPr>
              <w:pStyle w:val="Table2"/>
              <w:ind w:left="0" w:firstLine="0"/>
              <w:jc w:val="center"/>
              <w:rPr>
                <w:b w:val="0"/>
              </w:rPr>
            </w:pPr>
            <w:r>
              <w:rPr>
                <w:b w:val="0"/>
              </w:rPr>
              <w:t>22</w:t>
            </w:r>
          </w:p>
        </w:tc>
        <w:tc>
          <w:tcPr>
            <w:tcW w:w="4708" w:type="dxa"/>
            <w:tcBorders>
              <w:bottom w:val="single" w:sz="4" w:space="0" w:color="auto"/>
              <w:right w:val="single" w:sz="4" w:space="0" w:color="auto"/>
            </w:tcBorders>
          </w:tcPr>
          <w:p w14:paraId="7C533192" w14:textId="77777777" w:rsidR="00481F2E" w:rsidRPr="0096380E" w:rsidRDefault="00481F2E" w:rsidP="00481F2E">
            <w:pPr>
              <w:pStyle w:val="Table2"/>
              <w:ind w:left="0" w:firstLine="0"/>
              <w:cnfStyle w:val="000000100000" w:firstRow="0" w:lastRow="0" w:firstColumn="0" w:lastColumn="0" w:oddVBand="0" w:evenVBand="0" w:oddHBand="1" w:evenHBand="0" w:firstRowFirstColumn="0" w:firstRowLastColumn="0" w:lastRowFirstColumn="0" w:lastRowLastColumn="0"/>
            </w:pPr>
            <w:r w:rsidRPr="0096380E">
              <w:t>Many submissions included comments about the impact that irradiation may potentially have on the produce, in terms of freshness and quality and, subsequently, on those consuming the treated food. Examples of some comments included:</w:t>
            </w:r>
          </w:p>
          <w:p w14:paraId="1EA1BB95" w14:textId="69D0E9DF" w:rsidR="00481F2E" w:rsidRPr="0096380E" w:rsidRDefault="00481F2E" w:rsidP="00E01B62">
            <w:pPr>
              <w:pStyle w:val="Table2"/>
              <w:numPr>
                <w:ilvl w:val="0"/>
                <w:numId w:val="11"/>
              </w:numPr>
              <w:ind w:left="154" w:hanging="154"/>
              <w:cnfStyle w:val="000000100000" w:firstRow="0" w:lastRow="0" w:firstColumn="0" w:lastColumn="0" w:oddVBand="0" w:evenVBand="0" w:oddHBand="1" w:evenHBand="0" w:firstRowFirstColumn="0" w:firstRowLastColumn="0" w:lastRowFirstColumn="0" w:lastRowLastColumn="0"/>
            </w:pPr>
            <w:r w:rsidRPr="0096380E">
              <w:t xml:space="preserve">Irradiation will destroy all living enzymes. </w:t>
            </w:r>
          </w:p>
          <w:p w14:paraId="3DA5FB40" w14:textId="4A54F9D3" w:rsidR="00481F2E" w:rsidRPr="0096380E" w:rsidRDefault="00481F2E" w:rsidP="00E01B62">
            <w:pPr>
              <w:pStyle w:val="Table2"/>
              <w:numPr>
                <w:ilvl w:val="0"/>
                <w:numId w:val="11"/>
              </w:numPr>
              <w:ind w:left="154" w:hanging="154"/>
              <w:cnfStyle w:val="000000100000" w:firstRow="0" w:lastRow="0" w:firstColumn="0" w:lastColumn="0" w:oddVBand="0" w:evenVBand="0" w:oddHBand="1" w:evenHBand="0" w:firstRowFirstColumn="0" w:firstRowLastColumn="0" w:lastRowFirstColumn="0" w:lastRowLastColumn="0"/>
            </w:pPr>
            <w:r w:rsidRPr="0096380E">
              <w:t>Irradiation kills the goodness of fresh produce.</w:t>
            </w:r>
          </w:p>
          <w:p w14:paraId="23A4A1F7" w14:textId="11C8391F" w:rsidR="00481F2E" w:rsidRDefault="00481F2E" w:rsidP="00E01B62">
            <w:pPr>
              <w:pStyle w:val="Table2"/>
              <w:numPr>
                <w:ilvl w:val="0"/>
                <w:numId w:val="11"/>
              </w:numPr>
              <w:ind w:left="154" w:hanging="154"/>
              <w:cnfStyle w:val="000000100000" w:firstRow="0" w:lastRow="0" w:firstColumn="0" w:lastColumn="0" w:oddVBand="0" w:evenVBand="0" w:oddHBand="1" w:evenHBand="0" w:firstRowFirstColumn="0" w:firstRowLastColumn="0" w:lastRowFirstColumn="0" w:lastRowLastColumn="0"/>
            </w:pPr>
            <w:r w:rsidRPr="0096380E">
              <w:t>Food should be natural and the way it was intended to be consumed.</w:t>
            </w:r>
          </w:p>
          <w:p w14:paraId="17D8665B" w14:textId="7B507EA8" w:rsidR="00385E0D" w:rsidRDefault="00481F2E" w:rsidP="00E01B62">
            <w:pPr>
              <w:pStyle w:val="Table2"/>
              <w:numPr>
                <w:ilvl w:val="0"/>
                <w:numId w:val="11"/>
              </w:numPr>
              <w:ind w:left="154" w:hanging="154"/>
              <w:cnfStyle w:val="000000100000" w:firstRow="0" w:lastRow="0" w:firstColumn="0" w:lastColumn="0" w:oddVBand="0" w:evenVBand="0" w:oddHBand="1" w:evenHBand="0" w:firstRowFirstColumn="0" w:firstRowLastColumn="0" w:lastRowFirstColumn="0" w:lastRowLastColumn="0"/>
            </w:pPr>
            <w:r w:rsidRPr="00784B7D">
              <w:t xml:space="preserve">Evidence shows that the natural bacteria on the skins of fresh produce are important for the health of the human gut biome and irradiation also kills that </w:t>
            </w:r>
            <w:r w:rsidRPr="00772CB3">
              <w:t>good bacteria</w:t>
            </w:r>
            <w:r w:rsidR="00385E0D">
              <w:t>.</w:t>
            </w:r>
          </w:p>
          <w:p w14:paraId="3D4ED0C2" w14:textId="4BE6863F" w:rsidR="00481F2E" w:rsidRPr="00C84F33" w:rsidRDefault="00481F2E" w:rsidP="00E01B62">
            <w:pPr>
              <w:pStyle w:val="Table2"/>
              <w:numPr>
                <w:ilvl w:val="0"/>
                <w:numId w:val="11"/>
              </w:numPr>
              <w:ind w:left="154" w:hanging="154"/>
              <w:cnfStyle w:val="000000100000" w:firstRow="0" w:lastRow="0" w:firstColumn="0" w:lastColumn="0" w:oddVBand="0" w:evenVBand="0" w:oddHBand="1" w:evenHBand="0" w:firstRowFirstColumn="0" w:firstRowLastColumn="0" w:lastRowFirstColumn="0" w:lastRowLastColumn="0"/>
            </w:pPr>
            <w:r w:rsidRPr="00772CB3">
              <w:t>Irradiation does not kill viruses and all bacteria and</w:t>
            </w:r>
            <w:r w:rsidRPr="00784B7D">
              <w:t xml:space="preserve"> it does not remove toxins in the fruit, giving consumers a false sense of security over the handling of fruits.</w:t>
            </w:r>
          </w:p>
        </w:tc>
        <w:tc>
          <w:tcPr>
            <w:tcW w:w="2112" w:type="dxa"/>
            <w:tcBorders>
              <w:left w:val="single" w:sz="4" w:space="0" w:color="auto"/>
              <w:bottom w:val="single" w:sz="4" w:space="0" w:color="auto"/>
              <w:right w:val="single" w:sz="4" w:space="0" w:color="auto"/>
            </w:tcBorders>
          </w:tcPr>
          <w:p w14:paraId="7EDF2944" w14:textId="77777777" w:rsidR="00481F2E" w:rsidRDefault="00481F2E" w:rsidP="00481F2E">
            <w:pPr>
              <w:pStyle w:val="Table2"/>
              <w:cnfStyle w:val="000000100000" w:firstRow="0" w:lastRow="0" w:firstColumn="0" w:lastColumn="0" w:oddVBand="0" w:evenVBand="0" w:oddHBand="1" w:evenHBand="0" w:firstRowFirstColumn="0" w:firstRowLastColumn="0" w:lastRowFirstColumn="0" w:lastRowLastColumn="0"/>
            </w:pPr>
            <w:r>
              <w:t>Private individuals</w:t>
            </w:r>
          </w:p>
          <w:p w14:paraId="523F0A71" w14:textId="77777777" w:rsidR="00481F2E" w:rsidRDefault="00481F2E" w:rsidP="00481F2E">
            <w:pPr>
              <w:pStyle w:val="Table2"/>
              <w:cnfStyle w:val="000000100000" w:firstRow="0" w:lastRow="0" w:firstColumn="0" w:lastColumn="0" w:oddVBand="0" w:evenVBand="0" w:oddHBand="1" w:evenHBand="0" w:firstRowFirstColumn="0" w:firstRowLastColumn="0" w:lastRowFirstColumn="0" w:lastRowLastColumn="0"/>
            </w:pPr>
          </w:p>
          <w:p w14:paraId="13AB6B3C" w14:textId="57806AE4" w:rsidR="00481F2E" w:rsidRPr="00C84F33" w:rsidRDefault="00481F2E" w:rsidP="00481F2E">
            <w:pPr>
              <w:pStyle w:val="Table2"/>
              <w:ind w:left="0" w:firstLine="0"/>
              <w:cnfStyle w:val="000000100000" w:firstRow="0" w:lastRow="0" w:firstColumn="0" w:lastColumn="0" w:oddVBand="0" w:evenVBand="0" w:oddHBand="1" w:evenHBand="0" w:firstRowFirstColumn="0" w:firstRowLastColumn="0" w:lastRowFirstColumn="0" w:lastRowLastColumn="0"/>
            </w:pPr>
            <w:r>
              <w:t>Ceres Natural Foods</w:t>
            </w:r>
          </w:p>
        </w:tc>
        <w:tc>
          <w:tcPr>
            <w:tcW w:w="6523" w:type="dxa"/>
            <w:tcBorders>
              <w:left w:val="single" w:sz="4" w:space="0" w:color="auto"/>
              <w:bottom w:val="single" w:sz="4" w:space="0" w:color="auto"/>
            </w:tcBorders>
          </w:tcPr>
          <w:p w14:paraId="0CAECDE5" w14:textId="3CEA1C7E" w:rsidR="00481F2E" w:rsidRDefault="00481F2E" w:rsidP="00481F2E">
            <w:pPr>
              <w:pStyle w:val="Table2"/>
              <w:ind w:left="77" w:firstLine="0"/>
              <w:cnfStyle w:val="000000100000" w:firstRow="0" w:lastRow="0" w:firstColumn="0" w:lastColumn="0" w:oddVBand="0" w:evenVBand="0" w:oddHBand="1" w:evenHBand="0" w:firstRowFirstColumn="0" w:firstRowLastColumn="0" w:lastRowFirstColumn="0" w:lastRowLastColumn="0"/>
            </w:pPr>
            <w:r>
              <w:t>Treatment with the appropriate doses of irradiation, within the approved dose range of 150 Gy – 1 kGy is likely to minimise any impacts on the overall freshness and quality of fruit and vegetables.</w:t>
            </w:r>
            <w:r w:rsidR="00F877F6">
              <w:t xml:space="preserve"> </w:t>
            </w:r>
            <w:r>
              <w:t xml:space="preserve">Optimal dosages for </w:t>
            </w:r>
            <w:r w:rsidR="00844802">
              <w:t>each commodity</w:t>
            </w:r>
            <w:r>
              <w:t xml:space="preserve"> are determined through experience and experimental data.</w:t>
            </w:r>
          </w:p>
          <w:p w14:paraId="291D7221" w14:textId="77777777" w:rsidR="00481F2E" w:rsidRDefault="00481F2E" w:rsidP="00481F2E">
            <w:pPr>
              <w:pStyle w:val="Table2"/>
              <w:ind w:left="77" w:firstLine="0"/>
              <w:cnfStyle w:val="000000100000" w:firstRow="0" w:lastRow="0" w:firstColumn="0" w:lastColumn="0" w:oddVBand="0" w:evenVBand="0" w:oddHBand="1" w:evenHBand="0" w:firstRowFirstColumn="0" w:firstRowLastColumn="0" w:lastRowFirstColumn="0" w:lastRowLastColumn="0"/>
            </w:pPr>
          </w:p>
          <w:p w14:paraId="69B02EB5" w14:textId="60F0BDCA" w:rsidR="00481F2E" w:rsidRDefault="00481F2E" w:rsidP="00481F2E">
            <w:pPr>
              <w:pStyle w:val="Table2"/>
              <w:ind w:left="77" w:firstLine="0"/>
              <w:cnfStyle w:val="000000100000" w:firstRow="0" w:lastRow="0" w:firstColumn="0" w:lastColumn="0" w:oddVBand="0" w:evenVBand="0" w:oddHBand="1" w:evenHBand="0" w:firstRowFirstColumn="0" w:firstRowLastColumn="0" w:lastRowFirstColumn="0" w:lastRowLastColumn="0"/>
            </w:pPr>
            <w:r>
              <w:t xml:space="preserve">Irradiation is not proposed as an alternative to good agricultural practices and appropriate hygiene measures are still necessary to ensure that safe and suitable produce is provided to consumers. Food irradiation </w:t>
            </w:r>
            <w:r w:rsidR="00D82CEE">
              <w:t>cannot</w:t>
            </w:r>
            <w:r>
              <w:t xml:space="preserve"> be used to clean up already spoiled food.</w:t>
            </w:r>
          </w:p>
          <w:p w14:paraId="26FCC3FA" w14:textId="77777777" w:rsidR="00481F2E" w:rsidRDefault="00481F2E" w:rsidP="00481F2E">
            <w:pPr>
              <w:pStyle w:val="Table2"/>
              <w:ind w:left="77" w:firstLine="0"/>
              <w:cnfStyle w:val="000000100000" w:firstRow="0" w:lastRow="0" w:firstColumn="0" w:lastColumn="0" w:oddVBand="0" w:evenVBand="0" w:oddHBand="1" w:evenHBand="0" w:firstRowFirstColumn="0" w:firstRowLastColumn="0" w:lastRowFirstColumn="0" w:lastRowLastColumn="0"/>
            </w:pPr>
          </w:p>
          <w:p w14:paraId="323D9E96" w14:textId="45DBA316" w:rsidR="00481F2E" w:rsidRDefault="00481F2E" w:rsidP="00481F2E">
            <w:pPr>
              <w:pStyle w:val="Table2"/>
              <w:ind w:left="77" w:firstLine="0"/>
              <w:cnfStyle w:val="000000100000" w:firstRow="0" w:lastRow="0" w:firstColumn="0" w:lastColumn="0" w:oddVBand="0" w:evenVBand="0" w:oddHBand="1" w:evenHBand="0" w:firstRowFirstColumn="0" w:firstRowLastColumn="0" w:lastRowFirstColumn="0" w:lastRowLastColumn="0"/>
            </w:pPr>
            <w:r>
              <w:t>There is no evidence that irradiation has a detrimental impact on human health through destruction of enzymes or of beneficial bacteria.</w:t>
            </w:r>
          </w:p>
        </w:tc>
      </w:tr>
      <w:tr w:rsidR="00F6228C" w:rsidRPr="00125194" w14:paraId="03F2BB79" w14:textId="77777777" w:rsidTr="00523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tcPr>
          <w:p w14:paraId="75E58A45" w14:textId="3B0C869B" w:rsidR="00481F2E" w:rsidRDefault="00614E7D" w:rsidP="00614E7D">
            <w:pPr>
              <w:pStyle w:val="Table2"/>
              <w:ind w:left="0" w:firstLine="0"/>
              <w:jc w:val="center"/>
              <w:rPr>
                <w:b w:val="0"/>
              </w:rPr>
            </w:pPr>
            <w:r>
              <w:rPr>
                <w:b w:val="0"/>
              </w:rPr>
              <w:t>23</w:t>
            </w:r>
          </w:p>
        </w:tc>
        <w:tc>
          <w:tcPr>
            <w:tcW w:w="4708" w:type="dxa"/>
            <w:tcBorders>
              <w:bottom w:val="single" w:sz="4" w:space="0" w:color="auto"/>
              <w:right w:val="single" w:sz="4" w:space="0" w:color="auto"/>
            </w:tcBorders>
          </w:tcPr>
          <w:p w14:paraId="01F65EE6" w14:textId="5B8E6719" w:rsidR="00481F2E" w:rsidRPr="00C84F33" w:rsidRDefault="00481F2E" w:rsidP="00481F2E">
            <w:pPr>
              <w:pStyle w:val="Table2"/>
              <w:ind w:left="0" w:firstLine="0"/>
              <w:cnfStyle w:val="000000010000" w:firstRow="0" w:lastRow="0" w:firstColumn="0" w:lastColumn="0" w:oddVBand="0" w:evenVBand="0" w:oddHBand="0" w:evenHBand="1" w:firstRowFirstColumn="0" w:firstRowLastColumn="0" w:lastRowFirstColumn="0" w:lastRowLastColumn="0"/>
            </w:pPr>
            <w:r w:rsidRPr="00784B7D">
              <w:t>Many submissions included comments that fruit and vegetables should not be tampered with, that irradiation is a form of food tampering, and that fruit and vegetables should be available for purchase and consumption in their fresh, natural and unadulterated state</w:t>
            </w:r>
            <w:r w:rsidR="001025B3">
              <w:t>.</w:t>
            </w:r>
          </w:p>
        </w:tc>
        <w:tc>
          <w:tcPr>
            <w:tcW w:w="2112" w:type="dxa"/>
            <w:tcBorders>
              <w:left w:val="single" w:sz="4" w:space="0" w:color="auto"/>
              <w:bottom w:val="single" w:sz="4" w:space="0" w:color="auto"/>
              <w:right w:val="single" w:sz="4" w:space="0" w:color="auto"/>
            </w:tcBorders>
          </w:tcPr>
          <w:p w14:paraId="63A34B56" w14:textId="7CE765FD" w:rsidR="00481F2E" w:rsidRPr="00C84F33" w:rsidRDefault="00481F2E" w:rsidP="00481F2E">
            <w:pPr>
              <w:pStyle w:val="Table2"/>
              <w:ind w:left="0" w:firstLine="0"/>
              <w:cnfStyle w:val="000000010000" w:firstRow="0" w:lastRow="0" w:firstColumn="0" w:lastColumn="0" w:oddVBand="0" w:evenVBand="0" w:oddHBand="0" w:evenHBand="1" w:firstRowFirstColumn="0" w:firstRowLastColumn="0" w:lastRowFirstColumn="0" w:lastRowLastColumn="0"/>
            </w:pPr>
            <w:r>
              <w:t>Private individuals</w:t>
            </w:r>
          </w:p>
        </w:tc>
        <w:tc>
          <w:tcPr>
            <w:tcW w:w="6523" w:type="dxa"/>
            <w:tcBorders>
              <w:left w:val="single" w:sz="4" w:space="0" w:color="auto"/>
              <w:bottom w:val="single" w:sz="4" w:space="0" w:color="auto"/>
            </w:tcBorders>
          </w:tcPr>
          <w:p w14:paraId="68721210" w14:textId="77777777" w:rsidR="00CC22F2" w:rsidRDefault="00CC22F2" w:rsidP="00CC22F2">
            <w:pPr>
              <w:pStyle w:val="Table2"/>
              <w:ind w:left="77" w:firstLine="0"/>
              <w:cnfStyle w:val="000000010000" w:firstRow="0" w:lastRow="0" w:firstColumn="0" w:lastColumn="0" w:oddVBand="0" w:evenVBand="0" w:oddHBand="0" w:evenHBand="1" w:firstRowFirstColumn="0" w:firstRowLastColumn="0" w:lastRowFirstColumn="0" w:lastRowLastColumn="0"/>
            </w:pPr>
            <w:r>
              <w:t>Irradiation does not constitute a form of food tampering.</w:t>
            </w:r>
            <w:r w:rsidRPr="00784B7D">
              <w:t xml:space="preserve"> </w:t>
            </w:r>
            <w:r>
              <w:t>The i</w:t>
            </w:r>
            <w:r w:rsidR="00844802">
              <w:t xml:space="preserve">rradiation of </w:t>
            </w:r>
            <w:r>
              <w:t>fruit and vegetables</w:t>
            </w:r>
            <w:r w:rsidR="00844802">
              <w:t xml:space="preserve"> </w:t>
            </w:r>
            <w:r>
              <w:t xml:space="preserve">as proposed in the application has been assessed as an </w:t>
            </w:r>
            <w:r w:rsidRPr="00CC22F2">
              <w:t xml:space="preserve">appropriate and efficacious treatment </w:t>
            </w:r>
            <w:r>
              <w:t xml:space="preserve">and </w:t>
            </w:r>
            <w:r w:rsidRPr="00CC22F2">
              <w:t xml:space="preserve">there are no public health and safety concerns associated with </w:t>
            </w:r>
            <w:r>
              <w:t xml:space="preserve">its use. </w:t>
            </w:r>
          </w:p>
          <w:p w14:paraId="67FDF059" w14:textId="77777777" w:rsidR="00CC22F2" w:rsidRDefault="00CC22F2" w:rsidP="00CC22F2">
            <w:pPr>
              <w:pStyle w:val="Table2"/>
              <w:ind w:left="77" w:firstLine="0"/>
              <w:cnfStyle w:val="000000010000" w:firstRow="0" w:lastRow="0" w:firstColumn="0" w:lastColumn="0" w:oddVBand="0" w:evenVBand="0" w:oddHBand="0" w:evenHBand="1" w:firstRowFirstColumn="0" w:firstRowLastColumn="0" w:lastRowFirstColumn="0" w:lastRowLastColumn="0"/>
            </w:pPr>
          </w:p>
          <w:p w14:paraId="0A8DFB6A" w14:textId="4D2041F1" w:rsidR="00481F2E" w:rsidRDefault="00CC22F2" w:rsidP="0000287D">
            <w:pPr>
              <w:pStyle w:val="Table2"/>
              <w:ind w:left="77" w:firstLine="0"/>
              <w:cnfStyle w:val="000000010000" w:firstRow="0" w:lastRow="0" w:firstColumn="0" w:lastColumn="0" w:oddVBand="0" w:evenVBand="0" w:oddHBand="0" w:evenHBand="1" w:firstRowFirstColumn="0" w:firstRowLastColumn="0" w:lastRowFirstColumn="0" w:lastRowLastColumn="0"/>
            </w:pPr>
            <w:r>
              <w:t xml:space="preserve">There are already </w:t>
            </w:r>
            <w:r w:rsidR="00232789">
              <w:t xml:space="preserve">a number of existing phytosanitary </w:t>
            </w:r>
            <w:r w:rsidR="00481F2E" w:rsidRPr="00784B7D">
              <w:t>treatment option</w:t>
            </w:r>
            <w:r w:rsidR="00232789">
              <w:t>s</w:t>
            </w:r>
            <w:r w:rsidR="00481F2E" w:rsidRPr="00784B7D">
              <w:t xml:space="preserve"> f</w:t>
            </w:r>
            <w:r w:rsidR="00232789">
              <w:t xml:space="preserve">rom which the </w:t>
            </w:r>
            <w:r w:rsidR="00481F2E" w:rsidRPr="00784B7D">
              <w:t>horticultural industry</w:t>
            </w:r>
            <w:r w:rsidR="00232789">
              <w:t xml:space="preserve"> may cho</w:t>
            </w:r>
            <w:r>
              <w:t>o</w:t>
            </w:r>
            <w:r w:rsidR="00232789">
              <w:t>se</w:t>
            </w:r>
            <w:r w:rsidR="00481F2E" w:rsidRPr="00784B7D">
              <w:t xml:space="preserve">, to ensure safe and suitable produce is available to consumers in Australia and New Zealand. </w:t>
            </w:r>
            <w:r>
              <w:t>If the application is approved, irradiation will be another such option; i</w:t>
            </w:r>
            <w:r w:rsidR="00481F2E" w:rsidRPr="00784B7D">
              <w:t xml:space="preserve">ts use will be voluntary and based on individual business requirements. </w:t>
            </w:r>
          </w:p>
        </w:tc>
      </w:tr>
      <w:tr w:rsidR="00F6228C" w:rsidRPr="00125194" w14:paraId="54DE9EA4"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C2D69B" w:themeFill="accent3" w:themeFillTint="99"/>
          </w:tcPr>
          <w:p w14:paraId="22204DF2" w14:textId="77777777" w:rsidR="00A71A6A" w:rsidRDefault="00A71A6A" w:rsidP="00481F2E">
            <w:pPr>
              <w:pStyle w:val="Table2"/>
              <w:ind w:left="0" w:firstLine="0"/>
              <w:rPr>
                <w:b w:val="0"/>
              </w:rPr>
            </w:pPr>
          </w:p>
        </w:tc>
        <w:tc>
          <w:tcPr>
            <w:tcW w:w="4708" w:type="dxa"/>
            <w:tcBorders>
              <w:bottom w:val="single" w:sz="4" w:space="0" w:color="auto"/>
              <w:right w:val="single" w:sz="4" w:space="0" w:color="auto"/>
            </w:tcBorders>
            <w:shd w:val="clear" w:color="auto" w:fill="C2D69B" w:themeFill="accent3" w:themeFillTint="99"/>
          </w:tcPr>
          <w:p w14:paraId="4C5B0871" w14:textId="242326D8" w:rsidR="00A71A6A" w:rsidRPr="003A3ECA" w:rsidRDefault="00A71A6A" w:rsidP="00481F2E">
            <w:pPr>
              <w:pStyle w:val="Table2"/>
              <w:ind w:left="0" w:firstLine="0"/>
              <w:cnfStyle w:val="000000100000" w:firstRow="0" w:lastRow="0" w:firstColumn="0" w:lastColumn="0" w:oddVBand="0" w:evenVBand="0" w:oddHBand="1" w:evenHBand="0" w:firstRowFirstColumn="0" w:firstRowLastColumn="0" w:lastRowFirstColumn="0" w:lastRowLastColumn="0"/>
              <w:rPr>
                <w:sz w:val="22"/>
                <w:szCs w:val="22"/>
              </w:rPr>
            </w:pPr>
            <w:r w:rsidRPr="003A3ECA">
              <w:rPr>
                <w:b/>
                <w:sz w:val="22"/>
                <w:szCs w:val="22"/>
              </w:rPr>
              <w:t>Horticultural industry</w:t>
            </w:r>
          </w:p>
        </w:tc>
        <w:tc>
          <w:tcPr>
            <w:tcW w:w="2112" w:type="dxa"/>
            <w:tcBorders>
              <w:left w:val="single" w:sz="4" w:space="0" w:color="auto"/>
              <w:bottom w:val="single" w:sz="4" w:space="0" w:color="auto"/>
              <w:right w:val="single" w:sz="4" w:space="0" w:color="auto"/>
            </w:tcBorders>
            <w:shd w:val="clear" w:color="auto" w:fill="C2D69B" w:themeFill="accent3" w:themeFillTint="99"/>
          </w:tcPr>
          <w:p w14:paraId="5B5FB47C" w14:textId="77777777" w:rsidR="00A71A6A" w:rsidRDefault="00A71A6A" w:rsidP="00481F2E">
            <w:pPr>
              <w:pStyle w:val="Table2"/>
              <w:ind w:left="0" w:firstLine="0"/>
              <w:cnfStyle w:val="000000100000" w:firstRow="0" w:lastRow="0" w:firstColumn="0" w:lastColumn="0" w:oddVBand="0" w:evenVBand="0" w:oddHBand="1" w:evenHBand="0" w:firstRowFirstColumn="0" w:firstRowLastColumn="0" w:lastRowFirstColumn="0" w:lastRowLastColumn="0"/>
            </w:pPr>
          </w:p>
        </w:tc>
        <w:tc>
          <w:tcPr>
            <w:tcW w:w="6523" w:type="dxa"/>
            <w:tcBorders>
              <w:left w:val="single" w:sz="4" w:space="0" w:color="auto"/>
              <w:bottom w:val="single" w:sz="4" w:space="0" w:color="auto"/>
            </w:tcBorders>
            <w:shd w:val="clear" w:color="auto" w:fill="C2D69B" w:themeFill="accent3" w:themeFillTint="99"/>
          </w:tcPr>
          <w:p w14:paraId="019BE64C" w14:textId="77777777" w:rsidR="00A71A6A" w:rsidRPr="00784B7D" w:rsidRDefault="00A71A6A" w:rsidP="00481F2E">
            <w:pPr>
              <w:pStyle w:val="Table2"/>
              <w:ind w:left="77" w:firstLine="0"/>
              <w:cnfStyle w:val="000000100000" w:firstRow="0" w:lastRow="0" w:firstColumn="0" w:lastColumn="0" w:oddVBand="0" w:evenVBand="0" w:oddHBand="1" w:evenHBand="0" w:firstRowFirstColumn="0" w:firstRowLastColumn="0" w:lastRowFirstColumn="0" w:lastRowLastColumn="0"/>
            </w:pPr>
          </w:p>
        </w:tc>
      </w:tr>
      <w:tr w:rsidR="00F6228C" w:rsidRPr="00125194" w14:paraId="7D7667CF" w14:textId="77777777" w:rsidTr="00523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E6EED5"/>
          </w:tcPr>
          <w:p w14:paraId="25F065B3" w14:textId="720F9820" w:rsidR="00A71A6A" w:rsidRDefault="00614E7D" w:rsidP="00614E7D">
            <w:pPr>
              <w:pStyle w:val="Table2"/>
              <w:ind w:left="0" w:firstLine="0"/>
              <w:jc w:val="center"/>
              <w:rPr>
                <w:b w:val="0"/>
              </w:rPr>
            </w:pPr>
            <w:r>
              <w:rPr>
                <w:b w:val="0"/>
              </w:rPr>
              <w:lastRenderedPageBreak/>
              <w:t>24</w:t>
            </w:r>
          </w:p>
        </w:tc>
        <w:tc>
          <w:tcPr>
            <w:tcW w:w="4708" w:type="dxa"/>
            <w:tcBorders>
              <w:bottom w:val="single" w:sz="4" w:space="0" w:color="auto"/>
              <w:right w:val="single" w:sz="4" w:space="0" w:color="auto"/>
            </w:tcBorders>
            <w:shd w:val="clear" w:color="auto" w:fill="E6EED5"/>
          </w:tcPr>
          <w:p w14:paraId="127A5A7F" w14:textId="7625261D" w:rsidR="00A71A6A" w:rsidRPr="00986188" w:rsidRDefault="00A71A6A" w:rsidP="00986188">
            <w:pPr>
              <w:pStyle w:val="Table2"/>
              <w:ind w:left="0" w:firstLine="0"/>
              <w:cnfStyle w:val="000000010000" w:firstRow="0" w:lastRow="0" w:firstColumn="0" w:lastColumn="0" w:oddVBand="0" w:evenVBand="0" w:oddHBand="0" w:evenHBand="1" w:firstRowFirstColumn="0" w:firstRowLastColumn="0" w:lastRowFirstColumn="0" w:lastRowLastColumn="0"/>
              <w:rPr>
                <w:bCs w:val="0"/>
              </w:rPr>
            </w:pPr>
            <w:r w:rsidRPr="00B97010">
              <w:t>FSANZ should seek to communicate with the horticultural sector about the proposed new permission and consumers, noting there may be an increase in irradiated foods in the market.</w:t>
            </w:r>
          </w:p>
        </w:tc>
        <w:tc>
          <w:tcPr>
            <w:tcW w:w="2112" w:type="dxa"/>
            <w:tcBorders>
              <w:left w:val="single" w:sz="4" w:space="0" w:color="auto"/>
              <w:bottom w:val="single" w:sz="4" w:space="0" w:color="auto"/>
              <w:right w:val="single" w:sz="4" w:space="0" w:color="auto"/>
            </w:tcBorders>
            <w:shd w:val="clear" w:color="auto" w:fill="E6EED5"/>
          </w:tcPr>
          <w:p w14:paraId="7AEE8523" w14:textId="6D339D2F" w:rsidR="00A71A6A" w:rsidRDefault="00A71A6A" w:rsidP="00A71A6A">
            <w:pPr>
              <w:pStyle w:val="Table2"/>
              <w:ind w:left="0" w:firstLine="0"/>
              <w:cnfStyle w:val="000000010000" w:firstRow="0" w:lastRow="0" w:firstColumn="0" w:lastColumn="0" w:oddVBand="0" w:evenVBand="0" w:oddHBand="0" w:evenHBand="1" w:firstRowFirstColumn="0" w:firstRowLastColumn="0" w:lastRowFirstColumn="0" w:lastRowLastColumn="0"/>
            </w:pPr>
            <w:r w:rsidRPr="00184817">
              <w:rPr>
                <w:szCs w:val="18"/>
              </w:rPr>
              <w:t>Victorian Department of Health and Human Services and the Victorian Department of Jobs, Precincts and Regions</w:t>
            </w:r>
          </w:p>
        </w:tc>
        <w:tc>
          <w:tcPr>
            <w:tcW w:w="6523" w:type="dxa"/>
            <w:tcBorders>
              <w:left w:val="single" w:sz="4" w:space="0" w:color="auto"/>
              <w:bottom w:val="single" w:sz="4" w:space="0" w:color="auto"/>
            </w:tcBorders>
            <w:shd w:val="clear" w:color="auto" w:fill="E6EED5"/>
          </w:tcPr>
          <w:p w14:paraId="0DFBFF19" w14:textId="77777777" w:rsidR="00A71A6A" w:rsidRDefault="00A71A6A" w:rsidP="00A71A6A">
            <w:pPr>
              <w:pStyle w:val="Table2"/>
              <w:ind w:left="77" w:firstLine="0"/>
              <w:cnfStyle w:val="000000010000" w:firstRow="0" w:lastRow="0" w:firstColumn="0" w:lastColumn="0" w:oddVBand="0" w:evenVBand="0" w:oddHBand="0" w:evenHBand="1" w:firstRowFirstColumn="0" w:firstRowLastColumn="0" w:lastRowFirstColumn="0" w:lastRowLastColumn="0"/>
            </w:pPr>
            <w:r w:rsidRPr="00B97010">
              <w:t>Noted. FSANZ will develop communication products post the Call for Submissions period to raise awareness and understanding of the application and food irradiation more broadly.</w:t>
            </w:r>
          </w:p>
          <w:p w14:paraId="7A551DEA" w14:textId="77777777" w:rsidR="0000287D" w:rsidRDefault="0000287D" w:rsidP="00A71A6A">
            <w:pPr>
              <w:pStyle w:val="Table2"/>
              <w:ind w:left="77" w:firstLine="0"/>
              <w:cnfStyle w:val="000000010000" w:firstRow="0" w:lastRow="0" w:firstColumn="0" w:lastColumn="0" w:oddVBand="0" w:evenVBand="0" w:oddHBand="0" w:evenHBand="1" w:firstRowFirstColumn="0" w:firstRowLastColumn="0" w:lastRowFirstColumn="0" w:lastRowLastColumn="0"/>
            </w:pPr>
          </w:p>
          <w:p w14:paraId="2B76891A" w14:textId="04B60886" w:rsidR="0000287D" w:rsidRDefault="0000287D" w:rsidP="00D7708D">
            <w:pPr>
              <w:pStyle w:val="Table2"/>
              <w:ind w:left="77" w:firstLine="0"/>
              <w:cnfStyle w:val="000000010000" w:firstRow="0" w:lastRow="0" w:firstColumn="0" w:lastColumn="0" w:oddVBand="0" w:evenVBand="0" w:oddHBand="0" w:evenHBand="1" w:firstRowFirstColumn="0" w:firstRowLastColumn="0" w:lastRowFirstColumn="0" w:lastRowLastColumn="0"/>
            </w:pPr>
          </w:p>
        </w:tc>
      </w:tr>
      <w:tr w:rsidR="00F6228C" w:rsidRPr="00125194" w14:paraId="54627CDF"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auto"/>
          </w:tcPr>
          <w:p w14:paraId="7177D1D9" w14:textId="6D35B1FD" w:rsidR="00A71A6A" w:rsidRDefault="00614E7D" w:rsidP="00614E7D">
            <w:pPr>
              <w:pStyle w:val="Table2"/>
              <w:ind w:left="0" w:firstLine="0"/>
              <w:jc w:val="center"/>
              <w:rPr>
                <w:b w:val="0"/>
              </w:rPr>
            </w:pPr>
            <w:r>
              <w:rPr>
                <w:b w:val="0"/>
              </w:rPr>
              <w:t>25</w:t>
            </w:r>
          </w:p>
        </w:tc>
        <w:tc>
          <w:tcPr>
            <w:tcW w:w="4708" w:type="dxa"/>
            <w:tcBorders>
              <w:bottom w:val="single" w:sz="4" w:space="0" w:color="auto"/>
              <w:right w:val="single" w:sz="4" w:space="0" w:color="auto"/>
            </w:tcBorders>
            <w:shd w:val="clear" w:color="auto" w:fill="auto"/>
          </w:tcPr>
          <w:p w14:paraId="1D34746E" w14:textId="40422757" w:rsidR="00A71A6A" w:rsidRDefault="00A71A6A" w:rsidP="00853112">
            <w:pPr>
              <w:pStyle w:val="Table2"/>
              <w:ind w:left="0" w:firstLine="0"/>
              <w:cnfStyle w:val="000000100000" w:firstRow="0" w:lastRow="0" w:firstColumn="0" w:lastColumn="0" w:oddVBand="0" w:evenVBand="0" w:oddHBand="1" w:evenHBand="0" w:firstRowFirstColumn="0" w:firstRowLastColumn="0" w:lastRowFirstColumn="0" w:lastRowLastColumn="0"/>
            </w:pPr>
            <w:r w:rsidRPr="00853112">
              <w:t>A range of co</w:t>
            </w:r>
            <w:r w:rsidR="00853112">
              <w:t xml:space="preserve">mments regarding how the use of </w:t>
            </w:r>
            <w:r w:rsidRPr="00853112">
              <w:t>phytosanitary irradi</w:t>
            </w:r>
            <w:r w:rsidR="00853112" w:rsidRPr="00853112">
              <w:t xml:space="preserve">ation will be of benefit to the </w:t>
            </w:r>
            <w:r w:rsidRPr="00853112">
              <w:t xml:space="preserve">horticultural industry were made, as follows: </w:t>
            </w:r>
          </w:p>
          <w:p w14:paraId="00635D2E" w14:textId="77777777" w:rsidR="00A71A6A" w:rsidRPr="00853112" w:rsidRDefault="00A71A6A" w:rsidP="00E01B62">
            <w:pPr>
              <w:pStyle w:val="Table2"/>
              <w:numPr>
                <w:ilvl w:val="0"/>
                <w:numId w:val="11"/>
              </w:numPr>
              <w:ind w:left="154" w:hanging="154"/>
              <w:cnfStyle w:val="000000100000" w:firstRow="0" w:lastRow="0" w:firstColumn="0" w:lastColumn="0" w:oddVBand="0" w:evenVBand="0" w:oddHBand="1" w:evenHBand="0" w:firstRowFirstColumn="0" w:firstRowLastColumn="0" w:lastRowFirstColumn="0" w:lastRowLastColumn="0"/>
            </w:pPr>
            <w:r w:rsidRPr="00853112">
              <w:t xml:space="preserve">Current treatment options are not reliably effective and can cause damage to shelf life and product quality. This restricts the business from supplying some markets, with the market going underserviced and prices for consumers rising. </w:t>
            </w:r>
          </w:p>
          <w:p w14:paraId="7EFA708B" w14:textId="77777777" w:rsidR="00A71A6A" w:rsidRPr="00853112" w:rsidRDefault="00A71A6A" w:rsidP="00E01B62">
            <w:pPr>
              <w:pStyle w:val="Table2"/>
              <w:numPr>
                <w:ilvl w:val="0"/>
                <w:numId w:val="11"/>
              </w:numPr>
              <w:ind w:left="154" w:hanging="154"/>
              <w:cnfStyle w:val="000000100000" w:firstRow="0" w:lastRow="0" w:firstColumn="0" w:lastColumn="0" w:oddVBand="0" w:evenVBand="0" w:oddHBand="1" w:evenHBand="0" w:firstRowFirstColumn="0" w:firstRowLastColumn="0" w:lastRowFirstColumn="0" w:lastRowLastColumn="0"/>
            </w:pPr>
            <w:r w:rsidRPr="00853112">
              <w:t xml:space="preserve">Unlike chemical alternatives, which may remain a concern for workplace health and safety, irradiation is a feasible and ozone friendly alternative. </w:t>
            </w:r>
          </w:p>
          <w:p w14:paraId="68BC8599" w14:textId="77777777" w:rsidR="00A71A6A" w:rsidRPr="00853112" w:rsidRDefault="00A71A6A" w:rsidP="00E01B62">
            <w:pPr>
              <w:pStyle w:val="Table2"/>
              <w:numPr>
                <w:ilvl w:val="0"/>
                <w:numId w:val="11"/>
              </w:numPr>
              <w:ind w:left="154" w:hanging="154"/>
              <w:cnfStyle w:val="000000100000" w:firstRow="0" w:lastRow="0" w:firstColumn="0" w:lastColumn="0" w:oddVBand="0" w:evenVBand="0" w:oddHBand="1" w:evenHBand="0" w:firstRowFirstColumn="0" w:firstRowLastColumn="0" w:lastRowFirstColumn="0" w:lastRowLastColumn="0"/>
            </w:pPr>
            <w:r w:rsidRPr="00853112">
              <w:t xml:space="preserve">Phytosanitary irradiation is one of the most reliable and commercially effective biosecurity treatments available. </w:t>
            </w:r>
          </w:p>
          <w:p w14:paraId="235E259C" w14:textId="2D635C37" w:rsidR="00A71A6A" w:rsidRPr="00853112" w:rsidRDefault="00A71A6A" w:rsidP="00E01B62">
            <w:pPr>
              <w:pStyle w:val="Table2"/>
              <w:numPr>
                <w:ilvl w:val="0"/>
                <w:numId w:val="11"/>
              </w:numPr>
              <w:ind w:left="154" w:hanging="154"/>
              <w:cnfStyle w:val="000000100000" w:firstRow="0" w:lastRow="0" w:firstColumn="0" w:lastColumn="0" w:oddVBand="0" w:evenVBand="0" w:oddHBand="1" w:evenHBand="0" w:firstRowFirstColumn="0" w:firstRowLastColumn="0" w:lastRowFirstColumn="0" w:lastRowLastColumn="0"/>
            </w:pPr>
            <w:r w:rsidRPr="00853112">
              <w:t>Irradiation remains extremely sustainable. It is a highly automated process, with an extreme level of process control</w:t>
            </w:r>
            <w:r w:rsidR="00F877F6" w:rsidRPr="00853112">
              <w:t>.</w:t>
            </w:r>
          </w:p>
          <w:p w14:paraId="6DD5A224" w14:textId="77777777" w:rsidR="00A71A6A" w:rsidRPr="00853112" w:rsidRDefault="00A71A6A" w:rsidP="00E01B62">
            <w:pPr>
              <w:pStyle w:val="Table2"/>
              <w:numPr>
                <w:ilvl w:val="0"/>
                <w:numId w:val="11"/>
              </w:numPr>
              <w:ind w:left="154" w:hanging="154"/>
              <w:cnfStyle w:val="000000100000" w:firstRow="0" w:lastRow="0" w:firstColumn="0" w:lastColumn="0" w:oddVBand="0" w:evenVBand="0" w:oddHBand="1" w:evenHBand="0" w:firstRowFirstColumn="0" w:firstRowLastColumn="0" w:lastRowFirstColumn="0" w:lastRowLastColumn="0"/>
            </w:pPr>
            <w:r w:rsidRPr="00853112">
              <w:t>Although the volumes of each approved crop treated remain very seasonal and make up a small percentage of total harvest, the treatment, when required, plays a critical role in the supply chain, ensuring a prosperous and sustainable fresh produce industry.</w:t>
            </w:r>
          </w:p>
          <w:p w14:paraId="37BA426E" w14:textId="77777777" w:rsidR="00A71A6A" w:rsidRPr="00853112" w:rsidRDefault="00A71A6A" w:rsidP="00E01B62">
            <w:pPr>
              <w:pStyle w:val="Table2"/>
              <w:numPr>
                <w:ilvl w:val="0"/>
                <w:numId w:val="11"/>
              </w:numPr>
              <w:ind w:left="154" w:hanging="154"/>
              <w:cnfStyle w:val="000000100000" w:firstRow="0" w:lastRow="0" w:firstColumn="0" w:lastColumn="0" w:oddVBand="0" w:evenVBand="0" w:oddHBand="1" w:evenHBand="0" w:firstRowFirstColumn="0" w:firstRowLastColumn="0" w:lastRowFirstColumn="0" w:lastRowLastColumn="0"/>
            </w:pPr>
            <w:r w:rsidRPr="00853112">
              <w:t xml:space="preserve">Irradiation has enabled effective market access where dosimetry has proven to be efficacious for broad spectrum pest control and maintenance of product quality. </w:t>
            </w:r>
          </w:p>
          <w:p w14:paraId="7F933978" w14:textId="77777777" w:rsidR="00A71A6A" w:rsidRPr="00853112" w:rsidRDefault="00A71A6A" w:rsidP="00E01B62">
            <w:pPr>
              <w:pStyle w:val="Table2"/>
              <w:numPr>
                <w:ilvl w:val="0"/>
                <w:numId w:val="11"/>
              </w:numPr>
              <w:ind w:left="154" w:hanging="154"/>
              <w:cnfStyle w:val="000000100000" w:firstRow="0" w:lastRow="0" w:firstColumn="0" w:lastColumn="0" w:oddVBand="0" w:evenVBand="0" w:oddHBand="1" w:evenHBand="0" w:firstRowFirstColumn="0" w:firstRowLastColumn="0" w:lastRowFirstColumn="0" w:lastRowLastColumn="0"/>
            </w:pPr>
            <w:r w:rsidRPr="00853112">
              <w:t>Approval of the application will create opportunities for the industry to access a range of new markets for trade, enhance distribution, create greater access for consumers, and thus support market growth.</w:t>
            </w:r>
          </w:p>
          <w:p w14:paraId="6F132228" w14:textId="77777777" w:rsidR="00A71A6A" w:rsidRPr="00386381" w:rsidRDefault="00A71A6A" w:rsidP="00E01B62">
            <w:pPr>
              <w:pStyle w:val="Table2"/>
              <w:numPr>
                <w:ilvl w:val="0"/>
                <w:numId w:val="11"/>
              </w:numPr>
              <w:ind w:left="154" w:hanging="154"/>
              <w:cnfStyle w:val="000000100000" w:firstRow="0" w:lastRow="0" w:firstColumn="0" w:lastColumn="0" w:oddVBand="0" w:evenVBand="0" w:oddHBand="1" w:evenHBand="0" w:firstRowFirstColumn="0" w:firstRowLastColumn="0" w:lastRowFirstColumn="0" w:lastRowLastColumn="0"/>
            </w:pPr>
            <w:r w:rsidRPr="00853112">
              <w:t>Generic approval of irradiation will not limit organic fruit and vegetable choices.</w:t>
            </w:r>
          </w:p>
          <w:p w14:paraId="1CBA5424" w14:textId="3A9E89A4" w:rsidR="00A71A6A" w:rsidRPr="00784B7D" w:rsidRDefault="00A71A6A" w:rsidP="00E01B62">
            <w:pPr>
              <w:pStyle w:val="Table2"/>
              <w:numPr>
                <w:ilvl w:val="0"/>
                <w:numId w:val="11"/>
              </w:numPr>
              <w:ind w:left="154" w:hanging="154"/>
              <w:cnfStyle w:val="000000100000" w:firstRow="0" w:lastRow="0" w:firstColumn="0" w:lastColumn="0" w:oddVBand="0" w:evenVBand="0" w:oddHBand="1" w:evenHBand="0" w:firstRowFirstColumn="0" w:firstRowLastColumn="0" w:lastRowFirstColumn="0" w:lastRowLastColumn="0"/>
            </w:pPr>
            <w:r w:rsidRPr="00853112">
              <w:t>In terms of emergency preparedness and food security, there is already a generic irradiation treatment for almost any insect/crop combination. It is thus a viable treatment for many crops in the event of a foreign or exotic pest incursion. The inability to use it when needed could place the Australian horticultural industry at unnecessary and great risk.</w:t>
            </w:r>
          </w:p>
        </w:tc>
        <w:tc>
          <w:tcPr>
            <w:tcW w:w="2112" w:type="dxa"/>
            <w:tcBorders>
              <w:left w:val="single" w:sz="4" w:space="0" w:color="auto"/>
              <w:bottom w:val="single" w:sz="4" w:space="0" w:color="auto"/>
              <w:right w:val="single" w:sz="4" w:space="0" w:color="auto"/>
            </w:tcBorders>
            <w:shd w:val="clear" w:color="auto" w:fill="auto"/>
          </w:tcPr>
          <w:p w14:paraId="7587962D" w14:textId="77777777" w:rsidR="00A71A6A" w:rsidRPr="00272A7D" w:rsidRDefault="00A71A6A" w:rsidP="00A71A6A">
            <w:pPr>
              <w:widowControl/>
              <w:cnfStyle w:val="000000100000" w:firstRow="0" w:lastRow="0" w:firstColumn="0" w:lastColumn="0" w:oddVBand="0" w:evenVBand="0" w:oddHBand="1" w:evenHBand="0" w:firstRowFirstColumn="0" w:firstRowLastColumn="0" w:lastRowFirstColumn="0" w:lastRowLastColumn="0"/>
              <w:rPr>
                <w:rFonts w:cs="Arial"/>
                <w:sz w:val="18"/>
                <w:szCs w:val="18"/>
              </w:rPr>
            </w:pPr>
            <w:r w:rsidRPr="00272A7D">
              <w:rPr>
                <w:sz w:val="18"/>
                <w:szCs w:val="18"/>
              </w:rPr>
              <w:t>Apple &amp; Pear Australia Ltd</w:t>
            </w:r>
            <w:r w:rsidRPr="00272A7D">
              <w:rPr>
                <w:rFonts w:cs="Arial"/>
                <w:sz w:val="18"/>
                <w:szCs w:val="18"/>
              </w:rPr>
              <w:t xml:space="preserve"> </w:t>
            </w:r>
          </w:p>
          <w:p w14:paraId="6D993C3F" w14:textId="77777777" w:rsidR="00A71A6A" w:rsidRPr="00272A7D" w:rsidRDefault="00A71A6A" w:rsidP="00A71A6A">
            <w:pPr>
              <w:widowControl/>
              <w:cnfStyle w:val="000000100000" w:firstRow="0" w:lastRow="0" w:firstColumn="0" w:lastColumn="0" w:oddVBand="0" w:evenVBand="0" w:oddHBand="1" w:evenHBand="0" w:firstRowFirstColumn="0" w:firstRowLastColumn="0" w:lastRowFirstColumn="0" w:lastRowLastColumn="0"/>
              <w:rPr>
                <w:rFonts w:cs="Arial"/>
                <w:sz w:val="18"/>
                <w:szCs w:val="18"/>
              </w:rPr>
            </w:pPr>
          </w:p>
          <w:p w14:paraId="2AA93F7D" w14:textId="77777777" w:rsidR="00A71A6A" w:rsidRPr="00272A7D" w:rsidRDefault="00A71A6A" w:rsidP="00A71A6A">
            <w:pPr>
              <w:widowControl/>
              <w:cnfStyle w:val="000000100000" w:firstRow="0" w:lastRow="0" w:firstColumn="0" w:lastColumn="0" w:oddVBand="0" w:evenVBand="0" w:oddHBand="1" w:evenHBand="0" w:firstRowFirstColumn="0" w:firstRowLastColumn="0" w:lastRowFirstColumn="0" w:lastRowLastColumn="0"/>
              <w:rPr>
                <w:rFonts w:cs="Arial"/>
                <w:sz w:val="18"/>
                <w:szCs w:val="18"/>
              </w:rPr>
            </w:pPr>
            <w:r w:rsidRPr="00272A7D">
              <w:rPr>
                <w:rFonts w:cs="Arial"/>
                <w:sz w:val="18"/>
                <w:szCs w:val="18"/>
              </w:rPr>
              <w:t xml:space="preserve">PM Fresh, NSW </w:t>
            </w:r>
          </w:p>
          <w:p w14:paraId="39F568F7" w14:textId="77777777" w:rsidR="00A71A6A" w:rsidRPr="00272A7D" w:rsidRDefault="00A71A6A" w:rsidP="00A71A6A">
            <w:pPr>
              <w:widowControl/>
              <w:cnfStyle w:val="000000100000" w:firstRow="0" w:lastRow="0" w:firstColumn="0" w:lastColumn="0" w:oddVBand="0" w:evenVBand="0" w:oddHBand="1" w:evenHBand="0" w:firstRowFirstColumn="0" w:firstRowLastColumn="0" w:lastRowFirstColumn="0" w:lastRowLastColumn="0"/>
              <w:rPr>
                <w:rFonts w:cs="Arial"/>
                <w:sz w:val="18"/>
                <w:szCs w:val="18"/>
              </w:rPr>
            </w:pPr>
          </w:p>
          <w:p w14:paraId="16C89B4F" w14:textId="77777777" w:rsidR="00A71A6A" w:rsidRPr="00272A7D" w:rsidRDefault="00A71A6A" w:rsidP="00A71A6A">
            <w:pPr>
              <w:widowControl/>
              <w:cnfStyle w:val="000000100000" w:firstRow="0" w:lastRow="0" w:firstColumn="0" w:lastColumn="0" w:oddVBand="0" w:evenVBand="0" w:oddHBand="1" w:evenHBand="0" w:firstRowFirstColumn="0" w:firstRowLastColumn="0" w:lastRowFirstColumn="0" w:lastRowLastColumn="0"/>
              <w:rPr>
                <w:rFonts w:cs="Arial"/>
                <w:sz w:val="18"/>
                <w:szCs w:val="18"/>
              </w:rPr>
            </w:pPr>
            <w:r w:rsidRPr="00272A7D">
              <w:rPr>
                <w:rFonts w:cs="Arial"/>
                <w:sz w:val="18"/>
                <w:szCs w:val="18"/>
              </w:rPr>
              <w:t xml:space="preserve">Southern Cross Produce, New Zealand </w:t>
            </w:r>
          </w:p>
          <w:p w14:paraId="28FAD56E" w14:textId="77777777" w:rsidR="00A71A6A" w:rsidRPr="00272A7D" w:rsidRDefault="00A71A6A" w:rsidP="00A71A6A">
            <w:pPr>
              <w:widowControl/>
              <w:cnfStyle w:val="000000100000" w:firstRow="0" w:lastRow="0" w:firstColumn="0" w:lastColumn="0" w:oddVBand="0" w:evenVBand="0" w:oddHBand="1" w:evenHBand="0" w:firstRowFirstColumn="0" w:firstRowLastColumn="0" w:lastRowFirstColumn="0" w:lastRowLastColumn="0"/>
              <w:rPr>
                <w:rFonts w:cs="Arial"/>
                <w:sz w:val="18"/>
                <w:szCs w:val="18"/>
              </w:rPr>
            </w:pPr>
          </w:p>
          <w:p w14:paraId="39DAAB7D" w14:textId="77777777" w:rsidR="00A71A6A" w:rsidRPr="00272A7D" w:rsidRDefault="00A71A6A" w:rsidP="00A71A6A">
            <w:pPr>
              <w:widowControl/>
              <w:cnfStyle w:val="000000100000" w:firstRow="0" w:lastRow="0" w:firstColumn="0" w:lastColumn="0" w:oddVBand="0" w:evenVBand="0" w:oddHBand="1" w:evenHBand="0" w:firstRowFirstColumn="0" w:firstRowLastColumn="0" w:lastRowFirstColumn="0" w:lastRowLastColumn="0"/>
              <w:rPr>
                <w:rFonts w:cs="Arial"/>
                <w:sz w:val="18"/>
                <w:szCs w:val="18"/>
              </w:rPr>
            </w:pPr>
            <w:r w:rsidRPr="00272A7D">
              <w:rPr>
                <w:rFonts w:cs="Arial"/>
                <w:sz w:val="18"/>
                <w:szCs w:val="18"/>
              </w:rPr>
              <w:t xml:space="preserve">Melissa’s World Variety Produce, US </w:t>
            </w:r>
          </w:p>
          <w:p w14:paraId="14F19BAD" w14:textId="77777777" w:rsidR="00A71A6A" w:rsidRPr="00272A7D" w:rsidRDefault="00A71A6A" w:rsidP="00A71A6A">
            <w:pPr>
              <w:widowControl/>
              <w:cnfStyle w:val="000000100000" w:firstRow="0" w:lastRow="0" w:firstColumn="0" w:lastColumn="0" w:oddVBand="0" w:evenVBand="0" w:oddHBand="1" w:evenHBand="0" w:firstRowFirstColumn="0" w:firstRowLastColumn="0" w:lastRowFirstColumn="0" w:lastRowLastColumn="0"/>
              <w:rPr>
                <w:rFonts w:cs="Arial"/>
                <w:sz w:val="18"/>
                <w:szCs w:val="18"/>
              </w:rPr>
            </w:pPr>
          </w:p>
          <w:p w14:paraId="13EDF758" w14:textId="77777777" w:rsidR="00A71A6A" w:rsidRPr="00272A7D" w:rsidRDefault="00A71A6A" w:rsidP="00A71A6A">
            <w:pPr>
              <w:widowControl/>
              <w:cnfStyle w:val="000000100000" w:firstRow="0" w:lastRow="0" w:firstColumn="0" w:lastColumn="0" w:oddVBand="0" w:evenVBand="0" w:oddHBand="1" w:evenHBand="0" w:firstRowFirstColumn="0" w:firstRowLastColumn="0" w:lastRowFirstColumn="0" w:lastRowLastColumn="0"/>
              <w:rPr>
                <w:rFonts w:cs="Arial"/>
                <w:sz w:val="18"/>
                <w:szCs w:val="18"/>
              </w:rPr>
            </w:pPr>
            <w:r w:rsidRPr="00272A7D">
              <w:rPr>
                <w:rFonts w:cs="Arial"/>
                <w:sz w:val="18"/>
                <w:szCs w:val="18"/>
              </w:rPr>
              <w:t>Seeka, Fresh produce company, NZ</w:t>
            </w:r>
          </w:p>
          <w:p w14:paraId="2B36A6FD" w14:textId="77777777" w:rsidR="00A71A6A" w:rsidRPr="00272A7D" w:rsidRDefault="00A71A6A" w:rsidP="00A71A6A">
            <w:pPr>
              <w:widowControl/>
              <w:cnfStyle w:val="000000100000" w:firstRow="0" w:lastRow="0" w:firstColumn="0" w:lastColumn="0" w:oddVBand="0" w:evenVBand="0" w:oddHBand="1" w:evenHBand="0" w:firstRowFirstColumn="0" w:firstRowLastColumn="0" w:lastRowFirstColumn="0" w:lastRowLastColumn="0"/>
              <w:rPr>
                <w:rFonts w:cs="Arial"/>
                <w:sz w:val="18"/>
                <w:szCs w:val="18"/>
              </w:rPr>
            </w:pPr>
          </w:p>
          <w:p w14:paraId="6AB0FE57" w14:textId="77777777" w:rsidR="00A71A6A" w:rsidRPr="00272A7D" w:rsidRDefault="00A71A6A" w:rsidP="00A71A6A">
            <w:pPr>
              <w:widowControl/>
              <w:cnfStyle w:val="000000100000" w:firstRow="0" w:lastRow="0" w:firstColumn="0" w:lastColumn="0" w:oddVBand="0" w:evenVBand="0" w:oddHBand="1" w:evenHBand="0" w:firstRowFirstColumn="0" w:firstRowLastColumn="0" w:lastRowFirstColumn="0" w:lastRowLastColumn="0"/>
              <w:rPr>
                <w:rFonts w:cs="Arial"/>
                <w:sz w:val="18"/>
                <w:szCs w:val="18"/>
              </w:rPr>
            </w:pPr>
            <w:r w:rsidRPr="00272A7D">
              <w:rPr>
                <w:rFonts w:cs="Arial"/>
                <w:sz w:val="18"/>
                <w:szCs w:val="18"/>
              </w:rPr>
              <w:t>Steritech, Queensland</w:t>
            </w:r>
          </w:p>
          <w:p w14:paraId="231A45EB" w14:textId="77777777" w:rsidR="00A71A6A" w:rsidRPr="00272A7D" w:rsidRDefault="00A71A6A" w:rsidP="00A71A6A">
            <w:pPr>
              <w:widowControl/>
              <w:cnfStyle w:val="000000100000" w:firstRow="0" w:lastRow="0" w:firstColumn="0" w:lastColumn="0" w:oddVBand="0" w:evenVBand="0" w:oddHBand="1" w:evenHBand="0" w:firstRowFirstColumn="0" w:firstRowLastColumn="0" w:lastRowFirstColumn="0" w:lastRowLastColumn="0"/>
              <w:rPr>
                <w:rFonts w:cs="Arial"/>
                <w:sz w:val="18"/>
                <w:szCs w:val="18"/>
              </w:rPr>
            </w:pPr>
          </w:p>
          <w:p w14:paraId="41F91AF1" w14:textId="77777777" w:rsidR="00A71A6A" w:rsidRPr="00272A7D" w:rsidRDefault="00A71A6A" w:rsidP="00A71A6A">
            <w:pPr>
              <w:widowControl/>
              <w:cnfStyle w:val="000000100000" w:firstRow="0" w:lastRow="0" w:firstColumn="0" w:lastColumn="0" w:oddVBand="0" w:evenVBand="0" w:oddHBand="1" w:evenHBand="0" w:firstRowFirstColumn="0" w:firstRowLastColumn="0" w:lastRowFirstColumn="0" w:lastRowLastColumn="0"/>
              <w:rPr>
                <w:rFonts w:cs="Arial"/>
                <w:sz w:val="18"/>
                <w:szCs w:val="18"/>
              </w:rPr>
            </w:pPr>
            <w:r w:rsidRPr="00272A7D">
              <w:rPr>
                <w:rFonts w:cs="Arial"/>
                <w:sz w:val="18"/>
                <w:szCs w:val="18"/>
              </w:rPr>
              <w:t>Momack Produce, Victoria</w:t>
            </w:r>
          </w:p>
          <w:p w14:paraId="0C8B6FD6" w14:textId="77777777" w:rsidR="00A71A6A" w:rsidRPr="00272A7D" w:rsidRDefault="00A71A6A" w:rsidP="00A71A6A">
            <w:pPr>
              <w:widowControl/>
              <w:cnfStyle w:val="000000100000" w:firstRow="0" w:lastRow="0" w:firstColumn="0" w:lastColumn="0" w:oddVBand="0" w:evenVBand="0" w:oddHBand="1" w:evenHBand="0" w:firstRowFirstColumn="0" w:firstRowLastColumn="0" w:lastRowFirstColumn="0" w:lastRowLastColumn="0"/>
              <w:rPr>
                <w:rFonts w:cs="Arial"/>
                <w:sz w:val="18"/>
                <w:szCs w:val="18"/>
              </w:rPr>
            </w:pPr>
          </w:p>
          <w:p w14:paraId="5C4E27E0" w14:textId="77777777" w:rsidR="00A71A6A" w:rsidRPr="00272A7D" w:rsidRDefault="00A71A6A" w:rsidP="00A71A6A">
            <w:pPr>
              <w:widowControl/>
              <w:cnfStyle w:val="000000100000" w:firstRow="0" w:lastRow="0" w:firstColumn="0" w:lastColumn="0" w:oddVBand="0" w:evenVBand="0" w:oddHBand="1" w:evenHBand="0" w:firstRowFirstColumn="0" w:firstRowLastColumn="0" w:lastRowFirstColumn="0" w:lastRowLastColumn="0"/>
              <w:rPr>
                <w:rFonts w:cs="Arial"/>
                <w:sz w:val="18"/>
                <w:szCs w:val="18"/>
              </w:rPr>
            </w:pPr>
            <w:r w:rsidRPr="00272A7D">
              <w:rPr>
                <w:rFonts w:cs="Arial"/>
                <w:sz w:val="18"/>
                <w:szCs w:val="18"/>
              </w:rPr>
              <w:t>Ontario Group, Dimbulah Queensland</w:t>
            </w:r>
          </w:p>
          <w:p w14:paraId="3D5CB2FD" w14:textId="77777777" w:rsidR="00A71A6A" w:rsidRPr="00272A7D" w:rsidRDefault="00A71A6A" w:rsidP="00A71A6A">
            <w:pPr>
              <w:widowControl/>
              <w:cnfStyle w:val="000000100000" w:firstRow="0" w:lastRow="0" w:firstColumn="0" w:lastColumn="0" w:oddVBand="0" w:evenVBand="0" w:oddHBand="1" w:evenHBand="0" w:firstRowFirstColumn="0" w:firstRowLastColumn="0" w:lastRowFirstColumn="0" w:lastRowLastColumn="0"/>
              <w:rPr>
                <w:rFonts w:cs="Arial"/>
                <w:sz w:val="18"/>
                <w:szCs w:val="18"/>
              </w:rPr>
            </w:pPr>
          </w:p>
          <w:p w14:paraId="333AA88B" w14:textId="284B5BFE" w:rsidR="00A71A6A" w:rsidRDefault="00A71A6A" w:rsidP="00A71A6A">
            <w:pPr>
              <w:pStyle w:val="Table2"/>
              <w:ind w:left="0" w:firstLine="0"/>
              <w:cnfStyle w:val="000000100000" w:firstRow="0" w:lastRow="0" w:firstColumn="0" w:lastColumn="0" w:oddVBand="0" w:evenVBand="0" w:oddHBand="1" w:evenHBand="0" w:firstRowFirstColumn="0" w:firstRowLastColumn="0" w:lastRowFirstColumn="0" w:lastRowLastColumn="0"/>
            </w:pPr>
            <w:r w:rsidRPr="00272A7D">
              <w:rPr>
                <w:rFonts w:cs="Arial"/>
                <w:szCs w:val="18"/>
              </w:rPr>
              <w:t>Australian Table Grapes Association, Victoria</w:t>
            </w:r>
          </w:p>
        </w:tc>
        <w:tc>
          <w:tcPr>
            <w:tcW w:w="6523" w:type="dxa"/>
            <w:tcBorders>
              <w:left w:val="single" w:sz="4" w:space="0" w:color="auto"/>
              <w:bottom w:val="single" w:sz="4" w:space="0" w:color="auto"/>
            </w:tcBorders>
            <w:shd w:val="clear" w:color="auto" w:fill="auto"/>
          </w:tcPr>
          <w:p w14:paraId="6C60B090" w14:textId="3DFE220B" w:rsidR="00A71A6A" w:rsidRDefault="00A71A6A" w:rsidP="00A71A6A">
            <w:pPr>
              <w:pStyle w:val="Table2"/>
              <w:ind w:left="77" w:firstLine="0"/>
              <w:cnfStyle w:val="000000100000" w:firstRow="0" w:lastRow="0" w:firstColumn="0" w:lastColumn="0" w:oddVBand="0" w:evenVBand="0" w:oddHBand="1" w:evenHBand="0" w:firstRowFirstColumn="0" w:firstRowLastColumn="0" w:lastRowFirstColumn="0" w:lastRowLastColumn="0"/>
            </w:pPr>
            <w:r w:rsidRPr="00272A7D">
              <w:rPr>
                <w:szCs w:val="18"/>
              </w:rPr>
              <w:t>Noted.</w:t>
            </w:r>
          </w:p>
        </w:tc>
      </w:tr>
      <w:tr w:rsidR="00F6228C" w:rsidRPr="00125194" w14:paraId="221A4983" w14:textId="77777777" w:rsidTr="00523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E6EED5"/>
          </w:tcPr>
          <w:p w14:paraId="3E9E727C" w14:textId="5655BD61" w:rsidR="00A71A6A" w:rsidRDefault="00614E7D" w:rsidP="00614E7D">
            <w:pPr>
              <w:pStyle w:val="Table2"/>
              <w:ind w:left="0" w:firstLine="0"/>
              <w:jc w:val="center"/>
              <w:rPr>
                <w:b w:val="0"/>
              </w:rPr>
            </w:pPr>
            <w:r>
              <w:rPr>
                <w:b w:val="0"/>
              </w:rPr>
              <w:t>26</w:t>
            </w:r>
          </w:p>
        </w:tc>
        <w:tc>
          <w:tcPr>
            <w:tcW w:w="4708" w:type="dxa"/>
            <w:tcBorders>
              <w:bottom w:val="single" w:sz="4" w:space="0" w:color="auto"/>
              <w:right w:val="single" w:sz="4" w:space="0" w:color="auto"/>
            </w:tcBorders>
            <w:shd w:val="clear" w:color="auto" w:fill="E6EED5"/>
          </w:tcPr>
          <w:p w14:paraId="131CC218" w14:textId="2C90C62D" w:rsidR="00A71A6A" w:rsidRPr="002A6A44" w:rsidRDefault="00A71A6A" w:rsidP="00A71A6A">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2A6A44">
              <w:rPr>
                <w:sz w:val="18"/>
                <w:szCs w:val="18"/>
              </w:rPr>
              <w:t xml:space="preserve">The extension to existing approvals to food irradiation is an import-enabling tool, which could facilitate the import of cheap, </w:t>
            </w:r>
            <w:r w:rsidR="00BD4ADA">
              <w:rPr>
                <w:sz w:val="18"/>
                <w:szCs w:val="18"/>
              </w:rPr>
              <w:t xml:space="preserve">possibly over-sprayed and </w:t>
            </w:r>
            <w:r w:rsidRPr="002A6A44">
              <w:rPr>
                <w:sz w:val="18"/>
                <w:szCs w:val="18"/>
              </w:rPr>
              <w:t>sub</w:t>
            </w:r>
            <w:r w:rsidR="00BD4ADA">
              <w:rPr>
                <w:sz w:val="18"/>
                <w:szCs w:val="18"/>
              </w:rPr>
              <w:t>-</w:t>
            </w:r>
            <w:r w:rsidRPr="002A6A44">
              <w:rPr>
                <w:sz w:val="18"/>
                <w:szCs w:val="18"/>
              </w:rPr>
              <w:t>standard irradiated food. This influx of cheap product will have a negative impact on the domestic horticultural industry.</w:t>
            </w:r>
          </w:p>
          <w:p w14:paraId="5F9ACAA6" w14:textId="77777777" w:rsidR="00A71A6A" w:rsidRPr="00784B7D" w:rsidRDefault="00A71A6A" w:rsidP="00A71A6A">
            <w:pPr>
              <w:pStyle w:val="Table2"/>
              <w:ind w:left="0" w:firstLine="0"/>
              <w:cnfStyle w:val="000000010000" w:firstRow="0" w:lastRow="0" w:firstColumn="0" w:lastColumn="0" w:oddVBand="0" w:evenVBand="0" w:oddHBand="0" w:evenHBand="1" w:firstRowFirstColumn="0" w:firstRowLastColumn="0" w:lastRowFirstColumn="0" w:lastRowLastColumn="0"/>
            </w:pPr>
          </w:p>
        </w:tc>
        <w:tc>
          <w:tcPr>
            <w:tcW w:w="2112" w:type="dxa"/>
            <w:tcBorders>
              <w:left w:val="single" w:sz="4" w:space="0" w:color="auto"/>
              <w:bottom w:val="single" w:sz="4" w:space="0" w:color="auto"/>
              <w:right w:val="single" w:sz="4" w:space="0" w:color="auto"/>
            </w:tcBorders>
            <w:shd w:val="clear" w:color="auto" w:fill="E6EED5"/>
          </w:tcPr>
          <w:p w14:paraId="514EC49F" w14:textId="77777777" w:rsidR="00A71A6A" w:rsidRPr="00CE0E9C" w:rsidRDefault="00A71A6A" w:rsidP="00A71A6A">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CE0E9C">
              <w:rPr>
                <w:sz w:val="18"/>
                <w:szCs w:val="18"/>
              </w:rPr>
              <w:t>Food Irradiation Watch/Gene Ethics</w:t>
            </w:r>
          </w:p>
          <w:p w14:paraId="55D9E08D" w14:textId="77777777" w:rsidR="00A71A6A" w:rsidRPr="00CE0E9C" w:rsidRDefault="00A71A6A" w:rsidP="00A71A6A">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2288646E" w14:textId="77777777" w:rsidR="00A71A6A" w:rsidRPr="00CE0E9C" w:rsidRDefault="00A71A6A" w:rsidP="00A71A6A">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CE0E9C">
              <w:rPr>
                <w:sz w:val="18"/>
                <w:szCs w:val="18"/>
              </w:rPr>
              <w:t>Private individuals</w:t>
            </w:r>
          </w:p>
          <w:p w14:paraId="65819651" w14:textId="77777777" w:rsidR="00A71A6A" w:rsidRPr="00CE0E9C" w:rsidRDefault="00A71A6A" w:rsidP="00A71A6A">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377090C5" w14:textId="77777777" w:rsidR="00A71A6A" w:rsidRPr="00CE0E9C" w:rsidRDefault="00A71A6A" w:rsidP="00A71A6A">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CE0E9C">
              <w:rPr>
                <w:sz w:val="18"/>
                <w:szCs w:val="18"/>
              </w:rPr>
              <w:t>Wiser Equity Pty Ltd</w:t>
            </w:r>
          </w:p>
          <w:p w14:paraId="746EAC41" w14:textId="77777777" w:rsidR="00A71A6A" w:rsidRPr="00CE0E9C" w:rsidRDefault="00A71A6A" w:rsidP="00A71A6A">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54D33FE2" w14:textId="77777777" w:rsidR="00A71A6A" w:rsidRPr="00CE0E9C" w:rsidRDefault="00A71A6A" w:rsidP="00A71A6A">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CE0E9C">
              <w:rPr>
                <w:sz w:val="18"/>
                <w:szCs w:val="18"/>
              </w:rPr>
              <w:t xml:space="preserve">Consumers SA </w:t>
            </w:r>
          </w:p>
          <w:p w14:paraId="4746AE1F" w14:textId="77777777" w:rsidR="00A71A6A" w:rsidRPr="00CE0E9C" w:rsidRDefault="00A71A6A" w:rsidP="00A71A6A">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7DA5DA86" w14:textId="77777777" w:rsidR="00A71A6A" w:rsidRDefault="00A71A6A" w:rsidP="00A71A6A">
            <w:pPr>
              <w:pStyle w:val="Table2"/>
              <w:ind w:left="0" w:firstLine="0"/>
              <w:cnfStyle w:val="000000010000" w:firstRow="0" w:lastRow="0" w:firstColumn="0" w:lastColumn="0" w:oddVBand="0" w:evenVBand="0" w:oddHBand="0" w:evenHBand="1" w:firstRowFirstColumn="0" w:firstRowLastColumn="0" w:lastRowFirstColumn="0" w:lastRowLastColumn="0"/>
              <w:rPr>
                <w:szCs w:val="18"/>
              </w:rPr>
            </w:pPr>
            <w:r w:rsidRPr="00CE0E9C">
              <w:rPr>
                <w:szCs w:val="18"/>
              </w:rPr>
              <w:t>GE Free Northland</w:t>
            </w:r>
          </w:p>
          <w:p w14:paraId="3727B520" w14:textId="77777777" w:rsidR="00BD4ADA" w:rsidRDefault="00BD4ADA" w:rsidP="00A71A6A">
            <w:pPr>
              <w:pStyle w:val="Table2"/>
              <w:ind w:left="0" w:firstLine="0"/>
              <w:cnfStyle w:val="000000010000" w:firstRow="0" w:lastRow="0" w:firstColumn="0" w:lastColumn="0" w:oddVBand="0" w:evenVBand="0" w:oddHBand="0" w:evenHBand="1" w:firstRowFirstColumn="0" w:firstRowLastColumn="0" w:lastRowFirstColumn="0" w:lastRowLastColumn="0"/>
              <w:rPr>
                <w:szCs w:val="18"/>
              </w:rPr>
            </w:pPr>
          </w:p>
          <w:p w14:paraId="0228742A" w14:textId="77777777" w:rsidR="00BD4ADA" w:rsidRDefault="00BD4ADA" w:rsidP="00BD4ADA">
            <w:pPr>
              <w:pStyle w:val="Table2"/>
              <w:ind w:left="0" w:firstLine="0"/>
              <w:cnfStyle w:val="000000010000" w:firstRow="0" w:lastRow="0" w:firstColumn="0" w:lastColumn="0" w:oddVBand="0" w:evenVBand="0" w:oddHBand="0" w:evenHBand="1" w:firstRowFirstColumn="0" w:firstRowLastColumn="0" w:lastRowFirstColumn="0" w:lastRowLastColumn="0"/>
            </w:pPr>
            <w:r>
              <w:t>Sustainable Agriculture and Communities Alliance (SACA), Victoria</w:t>
            </w:r>
          </w:p>
          <w:p w14:paraId="505D26B5" w14:textId="61C3FF58" w:rsidR="00BD4ADA" w:rsidRDefault="00BD4ADA" w:rsidP="00A71A6A">
            <w:pPr>
              <w:pStyle w:val="Table2"/>
              <w:ind w:left="0" w:firstLine="0"/>
              <w:cnfStyle w:val="000000010000" w:firstRow="0" w:lastRow="0" w:firstColumn="0" w:lastColumn="0" w:oddVBand="0" w:evenVBand="0" w:oddHBand="0" w:evenHBand="1" w:firstRowFirstColumn="0" w:firstRowLastColumn="0" w:lastRowFirstColumn="0" w:lastRowLastColumn="0"/>
            </w:pPr>
          </w:p>
        </w:tc>
        <w:tc>
          <w:tcPr>
            <w:tcW w:w="6523" w:type="dxa"/>
            <w:tcBorders>
              <w:left w:val="single" w:sz="4" w:space="0" w:color="auto"/>
              <w:bottom w:val="single" w:sz="4" w:space="0" w:color="auto"/>
            </w:tcBorders>
            <w:shd w:val="clear" w:color="auto" w:fill="E6EED5"/>
          </w:tcPr>
          <w:p w14:paraId="308DBE4B" w14:textId="269EB222" w:rsidR="00A71A6A" w:rsidRPr="00CE0E9C" w:rsidRDefault="00E8522C" w:rsidP="00A71A6A">
            <w:pPr>
              <w:pStyle w:val="FSTableText"/>
              <w:ind w:left="77"/>
              <w:cnfStyle w:val="000000010000" w:firstRow="0" w:lastRow="0" w:firstColumn="0" w:lastColumn="0" w:oddVBand="0" w:evenVBand="0" w:oddHBand="0" w:evenHBand="1" w:firstRowFirstColumn="0" w:firstRowLastColumn="0" w:lastRowFirstColumn="0" w:lastRowLastColumn="0"/>
              <w:rPr>
                <w:sz w:val="18"/>
                <w:szCs w:val="18"/>
              </w:rPr>
            </w:pPr>
            <w:r w:rsidRPr="00E8522C">
              <w:rPr>
                <w:sz w:val="18"/>
                <w:szCs w:val="18"/>
              </w:rPr>
              <w:t xml:space="preserve">Approval of this application will not facilitate the import of over-sprayed and sub-standard irradiated food. </w:t>
            </w:r>
            <w:r w:rsidR="00A71A6A" w:rsidRPr="00CE0E9C">
              <w:rPr>
                <w:sz w:val="18"/>
                <w:szCs w:val="18"/>
              </w:rPr>
              <w:t xml:space="preserve">All imported food for human consumption must comply with the requirements of the </w:t>
            </w:r>
            <w:r w:rsidR="00A71A6A" w:rsidRPr="00E8522C">
              <w:rPr>
                <w:i/>
                <w:sz w:val="18"/>
                <w:szCs w:val="18"/>
              </w:rPr>
              <w:t>Imported Food Control Act 1992</w:t>
            </w:r>
            <w:r w:rsidR="00A71A6A" w:rsidRPr="00CE0E9C">
              <w:rPr>
                <w:sz w:val="18"/>
                <w:szCs w:val="18"/>
              </w:rPr>
              <w:t>, administered by</w:t>
            </w:r>
            <w:r>
              <w:rPr>
                <w:sz w:val="18"/>
                <w:szCs w:val="18"/>
              </w:rPr>
              <w:t xml:space="preserve"> </w:t>
            </w:r>
            <w:r w:rsidR="00853112" w:rsidRPr="00853112">
              <w:rPr>
                <w:sz w:val="18"/>
                <w:szCs w:val="18"/>
              </w:rPr>
              <w:t xml:space="preserve">Australian Government Department of Agriculture, Water and the Environment </w:t>
            </w:r>
            <w:r w:rsidR="00853112">
              <w:rPr>
                <w:sz w:val="18"/>
                <w:szCs w:val="18"/>
              </w:rPr>
              <w:t>(</w:t>
            </w:r>
            <w:r w:rsidR="00A71A6A" w:rsidRPr="00853112">
              <w:rPr>
                <w:sz w:val="18"/>
                <w:szCs w:val="18"/>
              </w:rPr>
              <w:t>DAWE</w:t>
            </w:r>
            <w:r w:rsidR="00853112">
              <w:rPr>
                <w:sz w:val="18"/>
                <w:szCs w:val="18"/>
              </w:rPr>
              <w:t>)</w:t>
            </w:r>
            <w:r w:rsidR="00A71A6A" w:rsidRPr="00853112">
              <w:rPr>
                <w:sz w:val="18"/>
                <w:szCs w:val="18"/>
              </w:rPr>
              <w:t>,</w:t>
            </w:r>
            <w:r w:rsidR="00A71A6A" w:rsidRPr="00CE0E9C">
              <w:rPr>
                <w:sz w:val="18"/>
                <w:szCs w:val="18"/>
              </w:rPr>
              <w:t xml:space="preserve"> and </w:t>
            </w:r>
            <w:r w:rsidR="00A71A6A">
              <w:rPr>
                <w:sz w:val="18"/>
                <w:szCs w:val="18"/>
              </w:rPr>
              <w:t>is</w:t>
            </w:r>
            <w:r w:rsidR="00A71A6A" w:rsidRPr="00CE0E9C">
              <w:rPr>
                <w:sz w:val="18"/>
                <w:szCs w:val="18"/>
              </w:rPr>
              <w:t xml:space="preserve"> subject to the same requirements of the Code that cover domestically produced food. </w:t>
            </w:r>
            <w:r w:rsidR="00830BA8">
              <w:rPr>
                <w:sz w:val="18"/>
                <w:szCs w:val="18"/>
              </w:rPr>
              <w:t xml:space="preserve">The sale of imported food in Australian and New Zealand is also </w:t>
            </w:r>
            <w:r w:rsidR="00686D47">
              <w:rPr>
                <w:sz w:val="18"/>
                <w:szCs w:val="18"/>
              </w:rPr>
              <w:t>subject to national, s</w:t>
            </w:r>
            <w:r w:rsidR="00830BA8">
              <w:rPr>
                <w:sz w:val="18"/>
                <w:szCs w:val="18"/>
              </w:rPr>
              <w:t xml:space="preserve">tate and </w:t>
            </w:r>
            <w:r w:rsidR="00686D47">
              <w:rPr>
                <w:sz w:val="18"/>
                <w:szCs w:val="18"/>
              </w:rPr>
              <w:t>t</w:t>
            </w:r>
            <w:r w:rsidR="00830BA8">
              <w:rPr>
                <w:sz w:val="18"/>
                <w:szCs w:val="18"/>
              </w:rPr>
              <w:t>erritory food laws that require food for sale to be safe and suitable</w:t>
            </w:r>
            <w:r w:rsidR="00686D47">
              <w:rPr>
                <w:sz w:val="18"/>
                <w:szCs w:val="18"/>
              </w:rPr>
              <w:t>.</w:t>
            </w:r>
            <w:r w:rsidR="00830BA8">
              <w:rPr>
                <w:sz w:val="18"/>
                <w:szCs w:val="18"/>
              </w:rPr>
              <w:t xml:space="preserve"> </w:t>
            </w:r>
          </w:p>
          <w:p w14:paraId="48CA02CA" w14:textId="77777777" w:rsidR="00A71A6A" w:rsidRPr="00CE0E9C" w:rsidRDefault="00A71A6A" w:rsidP="00A71A6A">
            <w:pPr>
              <w:pStyle w:val="FSTableText"/>
              <w:ind w:left="77"/>
              <w:cnfStyle w:val="000000010000" w:firstRow="0" w:lastRow="0" w:firstColumn="0" w:lastColumn="0" w:oddVBand="0" w:evenVBand="0" w:oddHBand="0" w:evenHBand="1" w:firstRowFirstColumn="0" w:firstRowLastColumn="0" w:lastRowFirstColumn="0" w:lastRowLastColumn="0"/>
              <w:rPr>
                <w:sz w:val="18"/>
                <w:szCs w:val="18"/>
              </w:rPr>
            </w:pPr>
          </w:p>
          <w:p w14:paraId="08D9CB10" w14:textId="01CDACFB" w:rsidR="00A71A6A" w:rsidRPr="00CE0E9C" w:rsidRDefault="00E8522C" w:rsidP="00A71A6A">
            <w:pPr>
              <w:pStyle w:val="FSTableText"/>
              <w:ind w:left="77"/>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In terms of consultation with government, </w:t>
            </w:r>
            <w:r w:rsidR="00A71A6A" w:rsidRPr="00CE0E9C">
              <w:rPr>
                <w:sz w:val="18"/>
                <w:szCs w:val="18"/>
              </w:rPr>
              <w:t>supportive submissions have been received from a number of government agencies. In particular, the two principle biosecurity agencies – DAWE and Biosecurity New Zealand – endorse the use of irradiation as an important quarantine measure for regulated pests. Biosecurity Tasmania endorses irradiation as a quality alternative to MeBr fumigation and use of certain insecticides that are becoming more restricted or being phased out.</w:t>
            </w:r>
          </w:p>
          <w:p w14:paraId="264FE9D3" w14:textId="77777777" w:rsidR="00A71A6A" w:rsidRPr="00CE0E9C" w:rsidRDefault="00A71A6A" w:rsidP="00A71A6A">
            <w:pPr>
              <w:pStyle w:val="FSTableText"/>
              <w:ind w:left="77"/>
              <w:cnfStyle w:val="000000010000" w:firstRow="0" w:lastRow="0" w:firstColumn="0" w:lastColumn="0" w:oddVBand="0" w:evenVBand="0" w:oddHBand="0" w:evenHBand="1" w:firstRowFirstColumn="0" w:firstRowLastColumn="0" w:lastRowFirstColumn="0" w:lastRowLastColumn="0"/>
              <w:rPr>
                <w:sz w:val="18"/>
                <w:szCs w:val="18"/>
              </w:rPr>
            </w:pPr>
          </w:p>
          <w:p w14:paraId="20A2D6E1" w14:textId="1DA184CB" w:rsidR="00A71A6A" w:rsidRDefault="00E8522C" w:rsidP="00BD4ADA">
            <w:pPr>
              <w:pStyle w:val="Table2"/>
              <w:ind w:left="77" w:firstLine="0"/>
              <w:cnfStyle w:val="000000010000" w:firstRow="0" w:lastRow="0" w:firstColumn="0" w:lastColumn="0" w:oddVBand="0" w:evenVBand="0" w:oddHBand="0" w:evenHBand="1" w:firstRowFirstColumn="0" w:firstRowLastColumn="0" w:lastRowFirstColumn="0" w:lastRowLastColumn="0"/>
            </w:pPr>
            <w:r>
              <w:rPr>
                <w:szCs w:val="18"/>
              </w:rPr>
              <w:t xml:space="preserve">Numerous submissions from horticultural businesses indicate that </w:t>
            </w:r>
            <w:r w:rsidR="00A71A6A" w:rsidRPr="00CE0E9C">
              <w:rPr>
                <w:szCs w:val="18"/>
              </w:rPr>
              <w:t xml:space="preserve">phytosanitary </w:t>
            </w:r>
            <w:r>
              <w:rPr>
                <w:szCs w:val="18"/>
              </w:rPr>
              <w:t xml:space="preserve">irradiation can </w:t>
            </w:r>
            <w:r w:rsidR="00A71A6A" w:rsidRPr="00CE0E9C">
              <w:rPr>
                <w:szCs w:val="18"/>
              </w:rPr>
              <w:t>potentially benefit</w:t>
            </w:r>
            <w:r w:rsidR="00A71A6A">
              <w:rPr>
                <w:szCs w:val="18"/>
              </w:rPr>
              <w:t xml:space="preserve"> (</w:t>
            </w:r>
            <w:r w:rsidR="00AA11B4">
              <w:rPr>
                <w:szCs w:val="18"/>
              </w:rPr>
              <w:t>as opposed to</w:t>
            </w:r>
            <w:r w:rsidR="00A71A6A">
              <w:rPr>
                <w:szCs w:val="18"/>
              </w:rPr>
              <w:t xml:space="preserve"> have a negative impact on)</w:t>
            </w:r>
            <w:r w:rsidR="00A71A6A" w:rsidRPr="00CE0E9C">
              <w:rPr>
                <w:szCs w:val="18"/>
              </w:rPr>
              <w:t xml:space="preserve"> the domestic horticultural industry by allowing broader market access for domestic trade and increasing choice by businesses to use a proven quarantine treatment to eradicate fruit fly pests.</w:t>
            </w:r>
            <w:r w:rsidR="00A71A6A">
              <w:rPr>
                <w:szCs w:val="18"/>
              </w:rPr>
              <w:t xml:space="preserve"> In addition, phytosanitary irradiation will be a viable treatment for crops in the </w:t>
            </w:r>
            <w:r w:rsidR="00A71A6A" w:rsidRPr="00E66404">
              <w:rPr>
                <w:szCs w:val="18"/>
              </w:rPr>
              <w:t>event of a f</w:t>
            </w:r>
            <w:r w:rsidR="00A71A6A">
              <w:rPr>
                <w:szCs w:val="18"/>
              </w:rPr>
              <w:t xml:space="preserve">oreign or exotic pest incursion, which would otherwise place </w:t>
            </w:r>
            <w:r w:rsidR="00A71A6A" w:rsidRPr="00E66404">
              <w:rPr>
                <w:szCs w:val="18"/>
              </w:rPr>
              <w:t>the Australian horticultural industry at unnecessary risk.</w:t>
            </w:r>
          </w:p>
        </w:tc>
      </w:tr>
      <w:tr w:rsidR="00F6228C" w:rsidRPr="00125194" w14:paraId="46BF71C7"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auto"/>
          </w:tcPr>
          <w:p w14:paraId="542B41C5" w14:textId="2717F678" w:rsidR="00A71A6A" w:rsidRDefault="00614E7D" w:rsidP="00614E7D">
            <w:pPr>
              <w:pStyle w:val="Table2"/>
              <w:ind w:left="0" w:firstLine="0"/>
              <w:jc w:val="center"/>
              <w:rPr>
                <w:b w:val="0"/>
              </w:rPr>
            </w:pPr>
            <w:r>
              <w:rPr>
                <w:b w:val="0"/>
              </w:rPr>
              <w:t>27</w:t>
            </w:r>
          </w:p>
        </w:tc>
        <w:tc>
          <w:tcPr>
            <w:tcW w:w="4708" w:type="dxa"/>
            <w:tcBorders>
              <w:bottom w:val="single" w:sz="4" w:space="0" w:color="auto"/>
              <w:right w:val="single" w:sz="4" w:space="0" w:color="auto"/>
            </w:tcBorders>
            <w:shd w:val="clear" w:color="auto" w:fill="auto"/>
          </w:tcPr>
          <w:p w14:paraId="1A870B3E" w14:textId="04890B0B" w:rsidR="00A71A6A" w:rsidRPr="00784B7D" w:rsidRDefault="00A71A6A" w:rsidP="00A71A6A">
            <w:pPr>
              <w:pStyle w:val="Table2"/>
              <w:ind w:left="0" w:firstLine="0"/>
              <w:cnfStyle w:val="000000100000" w:firstRow="0" w:lastRow="0" w:firstColumn="0" w:lastColumn="0" w:oddVBand="0" w:evenVBand="0" w:oddHBand="1" w:evenHBand="0" w:firstRowFirstColumn="0" w:firstRowLastColumn="0" w:lastRowFirstColumn="0" w:lastRowLastColumn="0"/>
            </w:pPr>
            <w:r w:rsidRPr="002A6A44">
              <w:rPr>
                <w:szCs w:val="18"/>
              </w:rPr>
              <w:t>The use of food irradiation could create problems for small farmers who either do not wish to or have the infrastructure/ finance to irradiate food.</w:t>
            </w:r>
          </w:p>
        </w:tc>
        <w:tc>
          <w:tcPr>
            <w:tcW w:w="2112" w:type="dxa"/>
            <w:tcBorders>
              <w:left w:val="single" w:sz="4" w:space="0" w:color="auto"/>
              <w:bottom w:val="single" w:sz="4" w:space="0" w:color="auto"/>
              <w:right w:val="single" w:sz="4" w:space="0" w:color="auto"/>
            </w:tcBorders>
            <w:shd w:val="clear" w:color="auto" w:fill="auto"/>
          </w:tcPr>
          <w:p w14:paraId="49C719D9" w14:textId="187951CE" w:rsidR="00A71A6A" w:rsidRDefault="00A71A6A" w:rsidP="00A71A6A">
            <w:pPr>
              <w:pStyle w:val="Table2"/>
              <w:ind w:left="0" w:firstLine="0"/>
              <w:cnfStyle w:val="000000100000" w:firstRow="0" w:lastRow="0" w:firstColumn="0" w:lastColumn="0" w:oddVBand="0" w:evenVBand="0" w:oddHBand="1" w:evenHBand="0" w:firstRowFirstColumn="0" w:firstRowLastColumn="0" w:lastRowFirstColumn="0" w:lastRowLastColumn="0"/>
            </w:pPr>
            <w:r w:rsidRPr="00CE0E9C">
              <w:rPr>
                <w:szCs w:val="18"/>
              </w:rPr>
              <w:t>Private individuals</w:t>
            </w:r>
          </w:p>
        </w:tc>
        <w:tc>
          <w:tcPr>
            <w:tcW w:w="6523" w:type="dxa"/>
            <w:tcBorders>
              <w:left w:val="single" w:sz="4" w:space="0" w:color="auto"/>
              <w:bottom w:val="single" w:sz="4" w:space="0" w:color="auto"/>
            </w:tcBorders>
            <w:shd w:val="clear" w:color="auto" w:fill="auto"/>
          </w:tcPr>
          <w:p w14:paraId="763768E1" w14:textId="615B5FEF" w:rsidR="00A71A6A" w:rsidRDefault="00A71A6A" w:rsidP="00E8522C">
            <w:pPr>
              <w:pStyle w:val="Table2"/>
              <w:ind w:left="77" w:firstLine="0"/>
              <w:cnfStyle w:val="000000100000" w:firstRow="0" w:lastRow="0" w:firstColumn="0" w:lastColumn="0" w:oddVBand="0" w:evenVBand="0" w:oddHBand="1" w:evenHBand="0" w:firstRowFirstColumn="0" w:firstRowLastColumn="0" w:lastRowFirstColumn="0" w:lastRowLastColumn="0"/>
            </w:pPr>
            <w:r w:rsidRPr="00CE0E9C">
              <w:rPr>
                <w:szCs w:val="18"/>
              </w:rPr>
              <w:t>If this application is approved, irradiation will not be a mandatory treatment under the Code</w:t>
            </w:r>
            <w:r w:rsidR="00E8522C">
              <w:rPr>
                <w:szCs w:val="18"/>
              </w:rPr>
              <w:t xml:space="preserve">. Rather, </w:t>
            </w:r>
            <w:r w:rsidRPr="00CE0E9C">
              <w:rPr>
                <w:szCs w:val="18"/>
              </w:rPr>
              <w:t xml:space="preserve">it will be only one of a number of existing phytosanitary treatment options from which the horticultural industry may choose. It will be up to individual fresh fruit and vegetable suppliers to decide on the phytosanitary treatment that </w:t>
            </w:r>
            <w:r w:rsidR="00F5155C">
              <w:rPr>
                <w:szCs w:val="18"/>
              </w:rPr>
              <w:t>is best for their particular circumstances, whilst ensuring</w:t>
            </w:r>
            <w:r w:rsidRPr="00CE0E9C">
              <w:rPr>
                <w:szCs w:val="18"/>
              </w:rPr>
              <w:t xml:space="preserve"> that the produce they supply is safe and pest free. </w:t>
            </w:r>
          </w:p>
        </w:tc>
      </w:tr>
      <w:tr w:rsidR="00F6228C" w:rsidRPr="00125194" w14:paraId="1E1F76FA" w14:textId="77777777" w:rsidTr="0052377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E6EED5"/>
          </w:tcPr>
          <w:p w14:paraId="284A9DF4" w14:textId="58667B76" w:rsidR="003A3ECA" w:rsidRDefault="00614E7D" w:rsidP="00614E7D">
            <w:pPr>
              <w:pStyle w:val="Table2"/>
              <w:ind w:left="0" w:firstLine="0"/>
              <w:jc w:val="center"/>
              <w:rPr>
                <w:b w:val="0"/>
              </w:rPr>
            </w:pPr>
            <w:r>
              <w:rPr>
                <w:b w:val="0"/>
              </w:rPr>
              <w:t>28</w:t>
            </w:r>
          </w:p>
        </w:tc>
        <w:tc>
          <w:tcPr>
            <w:tcW w:w="4708" w:type="dxa"/>
            <w:tcBorders>
              <w:bottom w:val="single" w:sz="4" w:space="0" w:color="auto"/>
              <w:right w:val="single" w:sz="4" w:space="0" w:color="auto"/>
            </w:tcBorders>
            <w:shd w:val="clear" w:color="auto" w:fill="E6EED5"/>
          </w:tcPr>
          <w:p w14:paraId="26A412D5" w14:textId="77777777" w:rsidR="003A3ECA" w:rsidRDefault="003A3ECA" w:rsidP="00E8522C">
            <w:pPr>
              <w:pStyle w:val="Table2"/>
              <w:ind w:left="0" w:firstLine="0"/>
              <w:cnfStyle w:val="000000010000" w:firstRow="0" w:lastRow="0" w:firstColumn="0" w:lastColumn="0" w:oddVBand="0" w:evenVBand="0" w:oddHBand="0" w:evenHBand="1" w:firstRowFirstColumn="0" w:firstRowLastColumn="0" w:lastRowFirstColumn="0" w:lastRowLastColumn="0"/>
              <w:rPr>
                <w:rFonts w:cs="Arial"/>
                <w:szCs w:val="18"/>
              </w:rPr>
            </w:pPr>
            <w:r w:rsidRPr="00272A7D">
              <w:rPr>
                <w:rFonts w:cs="Arial"/>
                <w:szCs w:val="18"/>
              </w:rPr>
              <w:t xml:space="preserve">The submitters request that proposed permissions be extended to include cut flowers, particularly roses. Current approved phytosanitary treatments for import of roses (including </w:t>
            </w:r>
            <w:r w:rsidR="00E8522C">
              <w:rPr>
                <w:rFonts w:cs="Arial"/>
                <w:szCs w:val="18"/>
              </w:rPr>
              <w:t>MeBr</w:t>
            </w:r>
            <w:r w:rsidRPr="00272A7D">
              <w:rPr>
                <w:rFonts w:cs="Arial"/>
                <w:szCs w:val="18"/>
              </w:rPr>
              <w:t>) have their disadvantages with regards to the environment and in particular the ozone layer. A more environmentally sensitive approach to pest manag</w:t>
            </w:r>
            <w:r w:rsidR="00E8522C">
              <w:rPr>
                <w:rFonts w:cs="Arial"/>
                <w:szCs w:val="18"/>
              </w:rPr>
              <w:t>ement would be welcomed. The X-r</w:t>
            </w:r>
            <w:r w:rsidRPr="00272A7D">
              <w:rPr>
                <w:rFonts w:cs="Arial"/>
                <w:szCs w:val="18"/>
              </w:rPr>
              <w:t>ay phytosanitary irradiation treatment facility in Melbourne is cold chain friendly, chemical free, and ozone friendly.</w:t>
            </w:r>
          </w:p>
          <w:p w14:paraId="519A6278" w14:textId="19993C1E" w:rsidR="008A235B" w:rsidRPr="00784B7D" w:rsidRDefault="008A235B" w:rsidP="00E8522C">
            <w:pPr>
              <w:pStyle w:val="Table2"/>
              <w:ind w:left="0" w:firstLine="0"/>
              <w:cnfStyle w:val="000000010000" w:firstRow="0" w:lastRow="0" w:firstColumn="0" w:lastColumn="0" w:oddVBand="0" w:evenVBand="0" w:oddHBand="0" w:evenHBand="1" w:firstRowFirstColumn="0" w:firstRowLastColumn="0" w:lastRowFirstColumn="0" w:lastRowLastColumn="0"/>
            </w:pPr>
          </w:p>
        </w:tc>
        <w:tc>
          <w:tcPr>
            <w:tcW w:w="2112" w:type="dxa"/>
            <w:tcBorders>
              <w:left w:val="single" w:sz="4" w:space="0" w:color="auto"/>
              <w:bottom w:val="single" w:sz="4" w:space="0" w:color="auto"/>
              <w:right w:val="single" w:sz="4" w:space="0" w:color="auto"/>
            </w:tcBorders>
            <w:shd w:val="clear" w:color="auto" w:fill="E6EED5"/>
          </w:tcPr>
          <w:p w14:paraId="54EF8C4E" w14:textId="77777777" w:rsidR="003A3ECA" w:rsidRPr="00272A7D" w:rsidRDefault="003A3ECA" w:rsidP="003A3ECA">
            <w:pPr>
              <w:widowControl/>
              <w:cnfStyle w:val="000000010000" w:firstRow="0" w:lastRow="0" w:firstColumn="0" w:lastColumn="0" w:oddVBand="0" w:evenVBand="0" w:oddHBand="0" w:evenHBand="1" w:firstRowFirstColumn="0" w:firstRowLastColumn="0" w:lastRowFirstColumn="0" w:lastRowLastColumn="0"/>
              <w:rPr>
                <w:rFonts w:cs="Arial"/>
                <w:sz w:val="18"/>
                <w:szCs w:val="18"/>
              </w:rPr>
            </w:pPr>
            <w:r w:rsidRPr="00272A7D">
              <w:rPr>
                <w:rFonts w:cs="Arial"/>
                <w:sz w:val="18"/>
                <w:szCs w:val="18"/>
              </w:rPr>
              <w:t>Mr Fresh, Victoria</w:t>
            </w:r>
          </w:p>
          <w:p w14:paraId="04E665CE" w14:textId="77777777" w:rsidR="003A3ECA" w:rsidRPr="00272A7D" w:rsidRDefault="003A3ECA" w:rsidP="003A3ECA">
            <w:pPr>
              <w:widowControl/>
              <w:cnfStyle w:val="000000010000" w:firstRow="0" w:lastRow="0" w:firstColumn="0" w:lastColumn="0" w:oddVBand="0" w:evenVBand="0" w:oddHBand="0" w:evenHBand="1" w:firstRowFirstColumn="0" w:firstRowLastColumn="0" w:lastRowFirstColumn="0" w:lastRowLastColumn="0"/>
              <w:rPr>
                <w:rFonts w:cs="Arial"/>
                <w:sz w:val="18"/>
                <w:szCs w:val="18"/>
              </w:rPr>
            </w:pPr>
          </w:p>
          <w:p w14:paraId="2AC084B7" w14:textId="15DC3EAB" w:rsidR="003A3ECA" w:rsidRDefault="003A3ECA" w:rsidP="003A3ECA">
            <w:pPr>
              <w:pStyle w:val="Table2"/>
              <w:ind w:left="0" w:firstLine="0"/>
              <w:cnfStyle w:val="000000010000" w:firstRow="0" w:lastRow="0" w:firstColumn="0" w:lastColumn="0" w:oddVBand="0" w:evenVBand="0" w:oddHBand="0" w:evenHBand="1" w:firstRowFirstColumn="0" w:firstRowLastColumn="0" w:lastRowFirstColumn="0" w:lastRowLastColumn="0"/>
            </w:pPr>
            <w:r w:rsidRPr="00272A7D">
              <w:rPr>
                <w:rFonts w:cs="Arial"/>
                <w:szCs w:val="18"/>
              </w:rPr>
              <w:t>Fairtrade Australia New Zealand (FANZ)</w:t>
            </w:r>
          </w:p>
        </w:tc>
        <w:tc>
          <w:tcPr>
            <w:tcW w:w="6523" w:type="dxa"/>
            <w:tcBorders>
              <w:left w:val="single" w:sz="4" w:space="0" w:color="auto"/>
              <w:bottom w:val="single" w:sz="4" w:space="0" w:color="auto"/>
            </w:tcBorders>
            <w:shd w:val="clear" w:color="auto" w:fill="E6EED5"/>
          </w:tcPr>
          <w:p w14:paraId="36B02245" w14:textId="3D15B37F" w:rsidR="003A3ECA" w:rsidRDefault="003A3ECA" w:rsidP="003A3ECA">
            <w:pPr>
              <w:pStyle w:val="Table2"/>
              <w:ind w:left="77" w:firstLine="0"/>
              <w:cnfStyle w:val="000000010000" w:firstRow="0" w:lastRow="0" w:firstColumn="0" w:lastColumn="0" w:oddVBand="0" w:evenVBand="0" w:oddHBand="0" w:evenHBand="1" w:firstRowFirstColumn="0" w:firstRowLastColumn="0" w:lastRowFirstColumn="0" w:lastRowLastColumn="0"/>
            </w:pPr>
            <w:r w:rsidRPr="00272A7D">
              <w:rPr>
                <w:szCs w:val="18"/>
              </w:rPr>
              <w:t>Out of scope.</w:t>
            </w:r>
          </w:p>
        </w:tc>
      </w:tr>
      <w:tr w:rsidR="00F6228C" w:rsidRPr="00125194" w14:paraId="13EABB0F" w14:textId="77777777" w:rsidTr="005237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C2D69B" w:themeFill="accent3" w:themeFillTint="99"/>
          </w:tcPr>
          <w:p w14:paraId="73C55D4C" w14:textId="52590B5C" w:rsidR="003A3ECA" w:rsidRDefault="003A3ECA" w:rsidP="003A3ECA">
            <w:pPr>
              <w:pStyle w:val="Table2"/>
              <w:ind w:left="0" w:firstLine="0"/>
              <w:rPr>
                <w:b w:val="0"/>
              </w:rPr>
            </w:pPr>
          </w:p>
        </w:tc>
        <w:tc>
          <w:tcPr>
            <w:tcW w:w="4708" w:type="dxa"/>
            <w:tcBorders>
              <w:bottom w:val="single" w:sz="4" w:space="0" w:color="auto"/>
              <w:right w:val="single" w:sz="4" w:space="0" w:color="auto"/>
            </w:tcBorders>
            <w:shd w:val="clear" w:color="auto" w:fill="C2D69B" w:themeFill="accent3" w:themeFillTint="99"/>
          </w:tcPr>
          <w:p w14:paraId="75992B3C" w14:textId="0DF16357" w:rsidR="003A3ECA" w:rsidRPr="00784B7D" w:rsidRDefault="003A3ECA" w:rsidP="003A3ECA">
            <w:pPr>
              <w:pStyle w:val="Table2"/>
              <w:ind w:left="0" w:firstLine="0"/>
              <w:cnfStyle w:val="000000100000" w:firstRow="0" w:lastRow="0" w:firstColumn="0" w:lastColumn="0" w:oddVBand="0" w:evenVBand="0" w:oddHBand="1" w:evenHBand="0" w:firstRowFirstColumn="0" w:firstRowLastColumn="0" w:lastRowFirstColumn="0" w:lastRowLastColumn="0"/>
            </w:pPr>
            <w:r w:rsidRPr="00184817">
              <w:rPr>
                <w:b/>
                <w:sz w:val="22"/>
                <w:szCs w:val="22"/>
              </w:rPr>
              <w:t>Harmonisation of regulations and trade</w:t>
            </w:r>
          </w:p>
        </w:tc>
        <w:tc>
          <w:tcPr>
            <w:tcW w:w="2112" w:type="dxa"/>
            <w:tcBorders>
              <w:left w:val="single" w:sz="4" w:space="0" w:color="auto"/>
              <w:bottom w:val="single" w:sz="4" w:space="0" w:color="auto"/>
              <w:right w:val="single" w:sz="4" w:space="0" w:color="auto"/>
            </w:tcBorders>
            <w:shd w:val="clear" w:color="auto" w:fill="C2D69B" w:themeFill="accent3" w:themeFillTint="99"/>
          </w:tcPr>
          <w:p w14:paraId="101C9C1A" w14:textId="77777777" w:rsidR="003A3ECA" w:rsidRDefault="003A3ECA" w:rsidP="003A3ECA">
            <w:pPr>
              <w:pStyle w:val="Table2"/>
              <w:ind w:left="0" w:firstLine="0"/>
              <w:cnfStyle w:val="000000100000" w:firstRow="0" w:lastRow="0" w:firstColumn="0" w:lastColumn="0" w:oddVBand="0" w:evenVBand="0" w:oddHBand="1" w:evenHBand="0" w:firstRowFirstColumn="0" w:firstRowLastColumn="0" w:lastRowFirstColumn="0" w:lastRowLastColumn="0"/>
            </w:pPr>
          </w:p>
        </w:tc>
        <w:tc>
          <w:tcPr>
            <w:tcW w:w="6523" w:type="dxa"/>
            <w:tcBorders>
              <w:left w:val="single" w:sz="4" w:space="0" w:color="auto"/>
              <w:bottom w:val="single" w:sz="4" w:space="0" w:color="auto"/>
            </w:tcBorders>
            <w:shd w:val="clear" w:color="auto" w:fill="C2D69B" w:themeFill="accent3" w:themeFillTint="99"/>
          </w:tcPr>
          <w:p w14:paraId="349D5C4D" w14:textId="681A41BE" w:rsidR="003A3ECA" w:rsidRDefault="003A3ECA" w:rsidP="003A3ECA">
            <w:pPr>
              <w:pStyle w:val="Table2"/>
              <w:ind w:left="77" w:firstLine="0"/>
              <w:cnfStyle w:val="000000100000" w:firstRow="0" w:lastRow="0" w:firstColumn="0" w:lastColumn="0" w:oddVBand="0" w:evenVBand="0" w:oddHBand="1" w:evenHBand="0" w:firstRowFirstColumn="0" w:firstRowLastColumn="0" w:lastRowFirstColumn="0" w:lastRowLastColumn="0"/>
            </w:pPr>
          </w:p>
        </w:tc>
      </w:tr>
      <w:tr w:rsidR="00F6228C" w:rsidRPr="00125194" w14:paraId="5702E6CE" w14:textId="77777777" w:rsidTr="005237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tcPr>
          <w:p w14:paraId="323D323C" w14:textId="3014E553" w:rsidR="003A3ECA" w:rsidRDefault="00614E7D" w:rsidP="00614E7D">
            <w:pPr>
              <w:pStyle w:val="Table2"/>
              <w:ind w:left="0" w:firstLine="0"/>
              <w:jc w:val="center"/>
              <w:rPr>
                <w:b w:val="0"/>
              </w:rPr>
            </w:pPr>
            <w:r>
              <w:rPr>
                <w:b w:val="0"/>
              </w:rPr>
              <w:t>29</w:t>
            </w:r>
          </w:p>
        </w:tc>
        <w:tc>
          <w:tcPr>
            <w:tcW w:w="4708" w:type="dxa"/>
            <w:tcBorders>
              <w:bottom w:val="single" w:sz="4" w:space="0" w:color="auto"/>
              <w:right w:val="single" w:sz="4" w:space="0" w:color="auto"/>
            </w:tcBorders>
          </w:tcPr>
          <w:p w14:paraId="380C8260" w14:textId="77777777" w:rsidR="003A3ECA" w:rsidRPr="004D7560" w:rsidRDefault="003A3ECA" w:rsidP="003A3ECA">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4D7560">
              <w:rPr>
                <w:sz w:val="18"/>
                <w:szCs w:val="18"/>
              </w:rPr>
              <w:t xml:space="preserve">The applicant bases most of their argument on the need to access export markets. FSANZ’s assessment on the need for irradiation should be made on the quality and safety of food, not on trade considerations and market disruption. </w:t>
            </w:r>
          </w:p>
          <w:p w14:paraId="52F26554" w14:textId="77777777" w:rsidR="003A3ECA" w:rsidRPr="004D7560" w:rsidRDefault="003A3ECA" w:rsidP="003A3ECA">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70BCEE27" w14:textId="12C64E8C" w:rsidR="003A3ECA" w:rsidRPr="00784B7D" w:rsidRDefault="003A3ECA" w:rsidP="003A3ECA">
            <w:pPr>
              <w:pStyle w:val="Table2"/>
              <w:ind w:left="0" w:firstLine="0"/>
              <w:cnfStyle w:val="000000010000" w:firstRow="0" w:lastRow="0" w:firstColumn="0" w:lastColumn="0" w:oddVBand="0" w:evenVBand="0" w:oddHBand="0" w:evenHBand="1" w:firstRowFirstColumn="0" w:firstRowLastColumn="0" w:lastRowFirstColumn="0" w:lastRowLastColumn="0"/>
            </w:pPr>
            <w:r w:rsidRPr="004D7560">
              <w:rPr>
                <w:szCs w:val="18"/>
              </w:rPr>
              <w:t>Further</w:t>
            </w:r>
            <w:r w:rsidR="00AA11B4">
              <w:rPr>
                <w:szCs w:val="18"/>
              </w:rPr>
              <w:t>,</w:t>
            </w:r>
            <w:r w:rsidRPr="004D7560">
              <w:rPr>
                <w:szCs w:val="18"/>
              </w:rPr>
              <w:t xml:space="preserve"> FSANZ should not try and justify approving </w:t>
            </w:r>
            <w:r w:rsidR="00E8522C">
              <w:rPr>
                <w:szCs w:val="18"/>
              </w:rPr>
              <w:t xml:space="preserve">Application </w:t>
            </w:r>
            <w:r w:rsidRPr="004D7560">
              <w:rPr>
                <w:szCs w:val="18"/>
              </w:rPr>
              <w:t>A1193 to promote consistency with other international regulations because this is misleading – while some countries have general approvals for the irradiation of fruits and vegetables many others do not</w:t>
            </w:r>
            <w:r w:rsidRPr="00564C37">
              <w:rPr>
                <w:szCs w:val="18"/>
              </w:rPr>
              <w:t>.</w:t>
            </w:r>
          </w:p>
        </w:tc>
        <w:tc>
          <w:tcPr>
            <w:tcW w:w="2112" w:type="dxa"/>
            <w:tcBorders>
              <w:left w:val="single" w:sz="4" w:space="0" w:color="auto"/>
              <w:bottom w:val="single" w:sz="4" w:space="0" w:color="auto"/>
              <w:right w:val="single" w:sz="4" w:space="0" w:color="auto"/>
            </w:tcBorders>
          </w:tcPr>
          <w:p w14:paraId="2D91E6ED" w14:textId="77777777" w:rsidR="003A3ECA" w:rsidRPr="00564C37" w:rsidRDefault="003A3ECA" w:rsidP="003A3ECA">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564C37">
              <w:rPr>
                <w:sz w:val="18"/>
                <w:szCs w:val="18"/>
              </w:rPr>
              <w:t>GE Free NZ</w:t>
            </w:r>
          </w:p>
          <w:p w14:paraId="5154D622" w14:textId="77777777" w:rsidR="003A3ECA" w:rsidRPr="00564C37" w:rsidRDefault="003A3ECA" w:rsidP="003A3ECA">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3EA7AD7E" w14:textId="77777777" w:rsidR="003A3ECA" w:rsidRPr="00564C37" w:rsidRDefault="003A3ECA" w:rsidP="003A3ECA">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564C37">
              <w:rPr>
                <w:sz w:val="18"/>
                <w:szCs w:val="18"/>
              </w:rPr>
              <w:t xml:space="preserve">Wiser Equity Pty Ltd </w:t>
            </w:r>
          </w:p>
          <w:p w14:paraId="41B79E21" w14:textId="77777777" w:rsidR="003A3ECA" w:rsidRPr="00564C37" w:rsidRDefault="003A3ECA" w:rsidP="003A3ECA">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3C3A2C48" w14:textId="77777777" w:rsidR="003A3ECA" w:rsidRPr="00564C37" w:rsidRDefault="003A3ECA" w:rsidP="003A3ECA">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564C37">
              <w:rPr>
                <w:sz w:val="18"/>
                <w:szCs w:val="18"/>
              </w:rPr>
              <w:t>Food Irradiation Watch/Gene Ethics</w:t>
            </w:r>
          </w:p>
          <w:p w14:paraId="1EC1AD43" w14:textId="77777777" w:rsidR="003A3ECA" w:rsidRPr="00564C37" w:rsidRDefault="003A3ECA" w:rsidP="003A3ECA">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0720946C" w14:textId="77777777" w:rsidR="003A3ECA" w:rsidRPr="00564C37" w:rsidRDefault="003A3ECA" w:rsidP="003A3ECA">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564C37">
              <w:rPr>
                <w:sz w:val="18"/>
                <w:szCs w:val="18"/>
              </w:rPr>
              <w:t>Private individuals</w:t>
            </w:r>
          </w:p>
          <w:p w14:paraId="07EAA5BD" w14:textId="77777777" w:rsidR="003A3ECA" w:rsidRPr="00564C37" w:rsidRDefault="003A3ECA" w:rsidP="003A3ECA">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4FE50778" w14:textId="77777777" w:rsidR="003A3ECA" w:rsidRPr="00564C37" w:rsidRDefault="003A3ECA" w:rsidP="003A3ECA">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564C37">
              <w:rPr>
                <w:sz w:val="18"/>
                <w:szCs w:val="18"/>
              </w:rPr>
              <w:t>Health practitioner</w:t>
            </w:r>
          </w:p>
          <w:p w14:paraId="205C6F32" w14:textId="77777777" w:rsidR="003A3ECA" w:rsidRPr="00564C37" w:rsidRDefault="003A3ECA" w:rsidP="003A3ECA">
            <w:pPr>
              <w:pStyle w:val="FSTableText"/>
              <w:cnfStyle w:val="000000010000" w:firstRow="0" w:lastRow="0" w:firstColumn="0" w:lastColumn="0" w:oddVBand="0" w:evenVBand="0" w:oddHBand="0" w:evenHBand="1" w:firstRowFirstColumn="0" w:firstRowLastColumn="0" w:lastRowFirstColumn="0" w:lastRowLastColumn="0"/>
              <w:rPr>
                <w:sz w:val="18"/>
                <w:szCs w:val="18"/>
              </w:rPr>
            </w:pPr>
          </w:p>
          <w:p w14:paraId="1B093D84" w14:textId="15229A86" w:rsidR="003A3ECA" w:rsidRDefault="003A3ECA" w:rsidP="003A3ECA">
            <w:pPr>
              <w:pStyle w:val="Table2"/>
              <w:ind w:left="0" w:firstLine="0"/>
              <w:cnfStyle w:val="000000010000" w:firstRow="0" w:lastRow="0" w:firstColumn="0" w:lastColumn="0" w:oddVBand="0" w:evenVBand="0" w:oddHBand="0" w:evenHBand="1" w:firstRowFirstColumn="0" w:firstRowLastColumn="0" w:lastRowFirstColumn="0" w:lastRowLastColumn="0"/>
            </w:pPr>
            <w:r w:rsidRPr="00564C37">
              <w:rPr>
                <w:szCs w:val="18"/>
              </w:rPr>
              <w:t>Consumers SA</w:t>
            </w:r>
          </w:p>
        </w:tc>
        <w:tc>
          <w:tcPr>
            <w:tcW w:w="6523" w:type="dxa"/>
            <w:tcBorders>
              <w:left w:val="single" w:sz="4" w:space="0" w:color="auto"/>
              <w:bottom w:val="single" w:sz="4" w:space="0" w:color="auto"/>
            </w:tcBorders>
          </w:tcPr>
          <w:p w14:paraId="5C888DB6" w14:textId="77777777" w:rsidR="003A3ECA" w:rsidRPr="00564C37" w:rsidRDefault="003A3ECA" w:rsidP="003A3ECA">
            <w:pPr>
              <w:pStyle w:val="FSTableText"/>
              <w:ind w:left="77"/>
              <w:cnfStyle w:val="000000010000" w:firstRow="0" w:lastRow="0" w:firstColumn="0" w:lastColumn="0" w:oddVBand="0" w:evenVBand="0" w:oddHBand="0" w:evenHBand="1" w:firstRowFirstColumn="0" w:firstRowLastColumn="0" w:lastRowFirstColumn="0" w:lastRowLastColumn="0"/>
              <w:rPr>
                <w:sz w:val="18"/>
                <w:szCs w:val="18"/>
              </w:rPr>
            </w:pPr>
            <w:r w:rsidRPr="00564C37">
              <w:rPr>
                <w:sz w:val="18"/>
                <w:szCs w:val="18"/>
              </w:rPr>
              <w:t>Noted.</w:t>
            </w:r>
          </w:p>
          <w:p w14:paraId="7DB16E15" w14:textId="77777777" w:rsidR="003A3ECA" w:rsidRPr="00564C37" w:rsidRDefault="003A3ECA" w:rsidP="003A3ECA">
            <w:pPr>
              <w:pStyle w:val="FSTableText"/>
              <w:ind w:left="77"/>
              <w:cnfStyle w:val="000000010000" w:firstRow="0" w:lastRow="0" w:firstColumn="0" w:lastColumn="0" w:oddVBand="0" w:evenVBand="0" w:oddHBand="0" w:evenHBand="1" w:firstRowFirstColumn="0" w:firstRowLastColumn="0" w:lastRowFirstColumn="0" w:lastRowLastColumn="0"/>
              <w:rPr>
                <w:sz w:val="18"/>
                <w:szCs w:val="18"/>
              </w:rPr>
            </w:pPr>
          </w:p>
          <w:p w14:paraId="2F97F14F" w14:textId="656C164B" w:rsidR="000140DB" w:rsidRDefault="00830BA8" w:rsidP="003A3ECA">
            <w:pPr>
              <w:pStyle w:val="FSTableText"/>
              <w:ind w:left="77"/>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FSANZ </w:t>
            </w:r>
            <w:r w:rsidR="000140DB">
              <w:rPr>
                <w:sz w:val="18"/>
                <w:szCs w:val="18"/>
              </w:rPr>
              <w:t>must</w:t>
            </w:r>
            <w:r>
              <w:rPr>
                <w:sz w:val="18"/>
                <w:szCs w:val="18"/>
              </w:rPr>
              <w:t xml:space="preserve"> assess this application in accordance with the FSANZ</w:t>
            </w:r>
            <w:r w:rsidR="000140DB">
              <w:rPr>
                <w:sz w:val="18"/>
                <w:szCs w:val="18"/>
              </w:rPr>
              <w:t xml:space="preserve"> Act. As explained</w:t>
            </w:r>
            <w:r>
              <w:rPr>
                <w:sz w:val="18"/>
                <w:szCs w:val="18"/>
              </w:rPr>
              <w:t xml:space="preserve"> in </w:t>
            </w:r>
            <w:r w:rsidR="00686D47">
              <w:rPr>
                <w:sz w:val="18"/>
                <w:szCs w:val="18"/>
              </w:rPr>
              <w:t>S</w:t>
            </w:r>
            <w:r>
              <w:rPr>
                <w:sz w:val="18"/>
                <w:szCs w:val="18"/>
              </w:rPr>
              <w:t xml:space="preserve">ection </w:t>
            </w:r>
            <w:r w:rsidR="003A3ECA" w:rsidRPr="00564C37">
              <w:rPr>
                <w:sz w:val="18"/>
                <w:szCs w:val="18"/>
              </w:rPr>
              <w:t>6 of this report</w:t>
            </w:r>
            <w:r w:rsidR="000140DB">
              <w:rPr>
                <w:sz w:val="18"/>
                <w:szCs w:val="18"/>
              </w:rPr>
              <w:t xml:space="preserve">, </w:t>
            </w:r>
            <w:r w:rsidR="00F424BC">
              <w:rPr>
                <w:sz w:val="18"/>
                <w:szCs w:val="18"/>
              </w:rPr>
              <w:t xml:space="preserve">the </w:t>
            </w:r>
            <w:r>
              <w:rPr>
                <w:sz w:val="18"/>
                <w:szCs w:val="18"/>
              </w:rPr>
              <w:t>Act requires FSANZ to have regard to a number of matters</w:t>
            </w:r>
            <w:r w:rsidR="000140DB">
              <w:rPr>
                <w:sz w:val="18"/>
                <w:szCs w:val="18"/>
              </w:rPr>
              <w:t xml:space="preserve"> in that assessment</w:t>
            </w:r>
            <w:r>
              <w:rPr>
                <w:sz w:val="18"/>
                <w:szCs w:val="18"/>
              </w:rPr>
              <w:t xml:space="preserve">. </w:t>
            </w:r>
            <w:r w:rsidR="000140DB">
              <w:rPr>
                <w:sz w:val="18"/>
                <w:szCs w:val="18"/>
              </w:rPr>
              <w:t>These include the protection of public health and safety, which remains FSANZ’s primary objective in standards development and in this assessment. As explained in this report, FSANZ’s assessment, based on the available evidence, is that permitting the irradiation of fruit and vegetables in the manner sought by the application would not pose a public health and safety risk.</w:t>
            </w:r>
          </w:p>
          <w:p w14:paraId="3D5D972C" w14:textId="77777777" w:rsidR="000140DB" w:rsidRDefault="000140DB" w:rsidP="003A3ECA">
            <w:pPr>
              <w:pStyle w:val="FSTableText"/>
              <w:ind w:left="77"/>
              <w:cnfStyle w:val="000000010000" w:firstRow="0" w:lastRow="0" w:firstColumn="0" w:lastColumn="0" w:oddVBand="0" w:evenVBand="0" w:oddHBand="0" w:evenHBand="1" w:firstRowFirstColumn="0" w:firstRowLastColumn="0" w:lastRowFirstColumn="0" w:lastRowLastColumn="0"/>
              <w:rPr>
                <w:sz w:val="18"/>
                <w:szCs w:val="18"/>
              </w:rPr>
            </w:pPr>
          </w:p>
          <w:p w14:paraId="1AD91C35" w14:textId="706CAA17" w:rsidR="003A3ECA" w:rsidRPr="00564C37" w:rsidRDefault="000140DB" w:rsidP="003A3ECA">
            <w:pPr>
              <w:pStyle w:val="FSTableText"/>
              <w:ind w:left="77"/>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The Act also requires FSANZ to have regard to </w:t>
            </w:r>
            <w:r w:rsidR="003A3ECA" w:rsidRPr="00564C37">
              <w:rPr>
                <w:sz w:val="18"/>
                <w:szCs w:val="18"/>
              </w:rPr>
              <w:t xml:space="preserve">the promotion of consistency between domestic and international food standards and </w:t>
            </w:r>
            <w:r>
              <w:rPr>
                <w:sz w:val="18"/>
                <w:szCs w:val="18"/>
              </w:rPr>
              <w:t xml:space="preserve">to </w:t>
            </w:r>
            <w:r w:rsidR="003A3ECA" w:rsidRPr="00564C37">
              <w:rPr>
                <w:sz w:val="18"/>
                <w:szCs w:val="18"/>
              </w:rPr>
              <w:t>the desirability of an efficient and internationally competitive food industry.</w:t>
            </w:r>
          </w:p>
          <w:p w14:paraId="161BEB68" w14:textId="77777777" w:rsidR="003A3ECA" w:rsidRPr="00564C37" w:rsidRDefault="003A3ECA" w:rsidP="003A3ECA">
            <w:pPr>
              <w:pStyle w:val="FSTableText"/>
              <w:ind w:left="77"/>
              <w:cnfStyle w:val="000000010000" w:firstRow="0" w:lastRow="0" w:firstColumn="0" w:lastColumn="0" w:oddVBand="0" w:evenVBand="0" w:oddHBand="0" w:evenHBand="1" w:firstRowFirstColumn="0" w:firstRowLastColumn="0" w:lastRowFirstColumn="0" w:lastRowLastColumn="0"/>
              <w:rPr>
                <w:sz w:val="18"/>
                <w:szCs w:val="18"/>
              </w:rPr>
            </w:pPr>
          </w:p>
          <w:p w14:paraId="4C89A16E" w14:textId="176901EC" w:rsidR="003A3ECA" w:rsidRDefault="00AF38B0" w:rsidP="00E8522C">
            <w:pPr>
              <w:pStyle w:val="Table2"/>
              <w:ind w:left="77" w:firstLine="0"/>
              <w:cnfStyle w:val="000000010000" w:firstRow="0" w:lastRow="0" w:firstColumn="0" w:lastColumn="0" w:oddVBand="0" w:evenVBand="0" w:oddHBand="0" w:evenHBand="1" w:firstRowFirstColumn="0" w:firstRowLastColumn="0" w:lastRowFirstColumn="0" w:lastRowLastColumn="0"/>
            </w:pPr>
            <w:r>
              <w:rPr>
                <w:szCs w:val="18"/>
              </w:rPr>
              <w:fldChar w:fldCharType="begin"/>
            </w:r>
            <w:r>
              <w:rPr>
                <w:szCs w:val="18"/>
              </w:rPr>
              <w:instrText xml:space="preserve"> REF _Ref65681589 \h </w:instrText>
            </w:r>
            <w:r w:rsidR="00614E7D">
              <w:rPr>
                <w:szCs w:val="18"/>
              </w:rPr>
              <w:instrText xml:space="preserve"> \* MERGEFORMAT </w:instrText>
            </w:r>
            <w:r>
              <w:rPr>
                <w:szCs w:val="18"/>
              </w:rPr>
            </w:r>
            <w:r>
              <w:rPr>
                <w:szCs w:val="18"/>
              </w:rPr>
              <w:fldChar w:fldCharType="separate"/>
            </w:r>
            <w:r w:rsidR="00A67B9C">
              <w:t xml:space="preserve">Appendix </w:t>
            </w:r>
            <w:r w:rsidR="00A67B9C">
              <w:rPr>
                <w:noProof/>
              </w:rPr>
              <w:t>1</w:t>
            </w:r>
            <w:r>
              <w:rPr>
                <w:szCs w:val="18"/>
              </w:rPr>
              <w:fldChar w:fldCharType="end"/>
            </w:r>
            <w:r w:rsidR="003A3ECA" w:rsidRPr="00564C37">
              <w:rPr>
                <w:szCs w:val="18"/>
              </w:rPr>
              <w:t xml:space="preserve"> of this report provides a summary of specific countries’ permissions for irradiated foods</w:t>
            </w:r>
            <w:r w:rsidR="003A3ECA">
              <w:rPr>
                <w:szCs w:val="18"/>
              </w:rPr>
              <w:t xml:space="preserve"> (focussing mainly on those in the Asia Pacific region and, as such, potential trading partners)</w:t>
            </w:r>
            <w:r w:rsidR="003A3ECA" w:rsidRPr="00564C37">
              <w:rPr>
                <w:szCs w:val="18"/>
              </w:rPr>
              <w:t>, including permissions for the irradiation of fresh fruit and vegetables as a phytosanitary measure</w:t>
            </w:r>
            <w:r w:rsidR="003A3ECA">
              <w:rPr>
                <w:szCs w:val="18"/>
              </w:rPr>
              <w:t>. Of the 11 countries listed</w:t>
            </w:r>
            <w:r w:rsidR="00AA11B4">
              <w:rPr>
                <w:szCs w:val="18"/>
              </w:rPr>
              <w:t xml:space="preserve"> in Appendix 1</w:t>
            </w:r>
            <w:r w:rsidR="003A3ECA">
              <w:rPr>
                <w:szCs w:val="18"/>
              </w:rPr>
              <w:t xml:space="preserve">, 8 have generic permissions for </w:t>
            </w:r>
            <w:r w:rsidR="003A3ECA">
              <w:rPr>
                <w:szCs w:val="18"/>
              </w:rPr>
              <w:lastRenderedPageBreak/>
              <w:t>fresh fruit and vegetables.</w:t>
            </w:r>
          </w:p>
        </w:tc>
      </w:tr>
      <w:tr w:rsidR="008A235B" w:rsidRPr="00125194" w14:paraId="17158B85" w14:textId="77777777" w:rsidTr="008A2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Borders>
              <w:bottom w:val="single" w:sz="4" w:space="0" w:color="auto"/>
              <w:right w:val="single" w:sz="4" w:space="0" w:color="auto"/>
            </w:tcBorders>
            <w:shd w:val="clear" w:color="auto" w:fill="C2D69B" w:themeFill="accent3" w:themeFillTint="99"/>
          </w:tcPr>
          <w:p w14:paraId="2C7D6D05" w14:textId="6AEC5A50" w:rsidR="008A235B" w:rsidRPr="00184817" w:rsidRDefault="008A235B" w:rsidP="003A3ECA">
            <w:pPr>
              <w:pStyle w:val="Table2"/>
              <w:ind w:left="0" w:firstLine="0"/>
              <w:rPr>
                <w:b w:val="0"/>
                <w:bCs/>
                <w:sz w:val="22"/>
                <w:szCs w:val="22"/>
              </w:rPr>
            </w:pPr>
          </w:p>
        </w:tc>
        <w:tc>
          <w:tcPr>
            <w:tcW w:w="13177" w:type="dxa"/>
            <w:gridSpan w:val="3"/>
            <w:tcBorders>
              <w:bottom w:val="single" w:sz="4" w:space="0" w:color="auto"/>
            </w:tcBorders>
            <w:shd w:val="clear" w:color="auto" w:fill="C2D69B" w:themeFill="accent3" w:themeFillTint="99"/>
          </w:tcPr>
          <w:p w14:paraId="5679BB5C" w14:textId="4D27733E" w:rsidR="008A235B" w:rsidRPr="00184817" w:rsidRDefault="008A235B" w:rsidP="003A3ECA">
            <w:pPr>
              <w:pStyle w:val="Table2"/>
              <w:ind w:left="77" w:firstLine="0"/>
              <w:cnfStyle w:val="000000100000" w:firstRow="0" w:lastRow="0" w:firstColumn="0" w:lastColumn="0" w:oddVBand="0" w:evenVBand="0" w:oddHBand="1" w:evenHBand="0" w:firstRowFirstColumn="0" w:firstRowLastColumn="0" w:lastRowFirstColumn="0" w:lastRowLastColumn="0"/>
              <w:rPr>
                <w:b/>
                <w:bCs w:val="0"/>
                <w:sz w:val="22"/>
                <w:szCs w:val="22"/>
              </w:rPr>
            </w:pPr>
            <w:r w:rsidRPr="00184817">
              <w:rPr>
                <w:b/>
                <w:bCs w:val="0"/>
                <w:sz w:val="22"/>
                <w:szCs w:val="22"/>
              </w:rPr>
              <w:t xml:space="preserve">Concerns related to the </w:t>
            </w:r>
            <w:r>
              <w:rPr>
                <w:b/>
                <w:bCs w:val="0"/>
                <w:sz w:val="22"/>
                <w:szCs w:val="22"/>
              </w:rPr>
              <w:t>scope of the</w:t>
            </w:r>
            <w:r w:rsidRPr="00184817">
              <w:rPr>
                <w:b/>
                <w:bCs w:val="0"/>
                <w:sz w:val="22"/>
                <w:szCs w:val="22"/>
              </w:rPr>
              <w:t xml:space="preserve"> permission</w:t>
            </w:r>
            <w:r>
              <w:rPr>
                <w:b/>
                <w:bCs w:val="0"/>
                <w:sz w:val="22"/>
                <w:szCs w:val="22"/>
              </w:rPr>
              <w:t>s</w:t>
            </w:r>
            <w:r w:rsidRPr="00184817">
              <w:rPr>
                <w:b/>
                <w:bCs w:val="0"/>
                <w:sz w:val="22"/>
                <w:szCs w:val="22"/>
              </w:rPr>
              <w:t xml:space="preserve"> for irradiation</w:t>
            </w:r>
          </w:p>
        </w:tc>
      </w:tr>
      <w:tr w:rsidR="00F6228C" w:rsidRPr="00125194" w14:paraId="52EF6641" w14:textId="77777777" w:rsidTr="008C7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Borders>
              <w:bottom w:val="single" w:sz="4" w:space="0" w:color="auto"/>
              <w:right w:val="single" w:sz="4" w:space="0" w:color="auto"/>
            </w:tcBorders>
            <w:shd w:val="clear" w:color="auto" w:fill="E6EED5"/>
          </w:tcPr>
          <w:p w14:paraId="309631A7" w14:textId="0CD2DA59" w:rsidR="003A3ECA" w:rsidRDefault="00614E7D" w:rsidP="00614E7D">
            <w:pPr>
              <w:pStyle w:val="Table2"/>
              <w:ind w:left="0" w:firstLine="0"/>
              <w:jc w:val="center"/>
              <w:rPr>
                <w:b w:val="0"/>
              </w:rPr>
            </w:pPr>
            <w:r>
              <w:rPr>
                <w:b w:val="0"/>
              </w:rPr>
              <w:t>30</w:t>
            </w:r>
          </w:p>
        </w:tc>
        <w:tc>
          <w:tcPr>
            <w:tcW w:w="4653" w:type="dxa"/>
            <w:tcBorders>
              <w:bottom w:val="single" w:sz="4" w:space="0" w:color="auto"/>
              <w:right w:val="single" w:sz="4" w:space="0" w:color="auto"/>
            </w:tcBorders>
            <w:shd w:val="clear" w:color="auto" w:fill="E6EED5"/>
          </w:tcPr>
          <w:p w14:paraId="0CFBA053" w14:textId="73474982" w:rsidR="003A3ECA" w:rsidRPr="00CF5878" w:rsidRDefault="003A3ECA" w:rsidP="00AA11B4">
            <w:pPr>
              <w:pStyle w:val="Table2"/>
              <w:ind w:left="0" w:firstLine="0"/>
              <w:cnfStyle w:val="000000010000" w:firstRow="0" w:lastRow="0" w:firstColumn="0" w:lastColumn="0" w:oddVBand="0" w:evenVBand="0" w:oddHBand="0" w:evenHBand="1" w:firstRowFirstColumn="0" w:firstRowLastColumn="0" w:lastRowFirstColumn="0" w:lastRowLastColumn="0"/>
            </w:pPr>
            <w:r w:rsidRPr="00CF5878">
              <w:t>Submitters raised numerous issues relat</w:t>
            </w:r>
            <w:r>
              <w:t xml:space="preserve">ing </w:t>
            </w:r>
            <w:r w:rsidRPr="00CF5878">
              <w:t xml:space="preserve">to FSANZ’s consideration of costs and benefits, including: </w:t>
            </w:r>
          </w:p>
          <w:p w14:paraId="2C423CA9" w14:textId="77777777" w:rsidR="003A3ECA" w:rsidRPr="00CF5878" w:rsidRDefault="003A3ECA" w:rsidP="003A3ECA">
            <w:pPr>
              <w:pStyle w:val="Table2"/>
              <w:cnfStyle w:val="000000010000" w:firstRow="0" w:lastRow="0" w:firstColumn="0" w:lastColumn="0" w:oddVBand="0" w:evenVBand="0" w:oddHBand="0" w:evenHBand="1" w:firstRowFirstColumn="0" w:firstRowLastColumn="0" w:lastRowFirstColumn="0" w:lastRowLastColumn="0"/>
            </w:pPr>
            <w:r w:rsidRPr="00CF5878">
              <w:t>•</w:t>
            </w:r>
            <w:r w:rsidRPr="00CF5878">
              <w:tab/>
              <w:t>The public will be exposed to further risks, costs and hazards</w:t>
            </w:r>
          </w:p>
          <w:p w14:paraId="041DF531" w14:textId="6C4B50CE" w:rsidR="003A3ECA" w:rsidRPr="00CF5878" w:rsidRDefault="003A3ECA" w:rsidP="003A3ECA">
            <w:pPr>
              <w:pStyle w:val="Table2"/>
              <w:cnfStyle w:val="000000010000" w:firstRow="0" w:lastRow="0" w:firstColumn="0" w:lastColumn="0" w:oddVBand="0" w:evenVBand="0" w:oddHBand="0" w:evenHBand="1" w:firstRowFirstColumn="0" w:firstRowLastColumn="0" w:lastRowFirstColumn="0" w:lastRowLastColumn="0"/>
            </w:pPr>
            <w:r w:rsidRPr="00CF5878">
              <w:t>•</w:t>
            </w:r>
            <w:r w:rsidRPr="00CF5878">
              <w:tab/>
              <w:t>Irradiation of fresh fruit and vegetables will increase costs [to consumers]</w:t>
            </w:r>
          </w:p>
          <w:p w14:paraId="0C540B75" w14:textId="77777777" w:rsidR="003A3ECA" w:rsidRPr="00CF5878" w:rsidRDefault="003A3ECA" w:rsidP="003A3ECA">
            <w:pPr>
              <w:pStyle w:val="Table2"/>
              <w:cnfStyle w:val="000000010000" w:firstRow="0" w:lastRow="0" w:firstColumn="0" w:lastColumn="0" w:oddVBand="0" w:evenVBand="0" w:oddHBand="0" w:evenHBand="1" w:firstRowFirstColumn="0" w:firstRowLastColumn="0" w:lastRowFirstColumn="0" w:lastRowLastColumn="0"/>
            </w:pPr>
            <w:r w:rsidRPr="00CF5878">
              <w:t>•</w:t>
            </w:r>
            <w:r w:rsidRPr="00CF5878">
              <w:tab/>
              <w:t xml:space="preserve">Analysis of all the other alternative phytosanitary hasn’t been undertaken </w:t>
            </w:r>
          </w:p>
          <w:p w14:paraId="5FD50ED2" w14:textId="7CECA148" w:rsidR="003A3ECA" w:rsidRPr="00CF5878" w:rsidRDefault="003A3ECA" w:rsidP="001025B3">
            <w:pPr>
              <w:pStyle w:val="Table2"/>
              <w:cnfStyle w:val="000000010000" w:firstRow="0" w:lastRow="0" w:firstColumn="0" w:lastColumn="0" w:oddVBand="0" w:evenVBand="0" w:oddHBand="0" w:evenHBand="1" w:firstRowFirstColumn="0" w:firstRowLastColumn="0" w:lastRowFirstColumn="0" w:lastRowLastColumn="0"/>
            </w:pPr>
            <w:r w:rsidRPr="00CF5878">
              <w:t>•</w:t>
            </w:r>
            <w:r w:rsidRPr="00CF5878">
              <w:tab/>
              <w:t>Analysis of the benefit of food irradiation.</w:t>
            </w:r>
            <w:r w:rsidRPr="00CF5878">
              <w:tab/>
            </w:r>
          </w:p>
        </w:tc>
        <w:tc>
          <w:tcPr>
            <w:tcW w:w="2096" w:type="dxa"/>
            <w:tcBorders>
              <w:left w:val="single" w:sz="4" w:space="0" w:color="auto"/>
              <w:bottom w:val="single" w:sz="4" w:space="0" w:color="auto"/>
              <w:right w:val="single" w:sz="4" w:space="0" w:color="auto"/>
            </w:tcBorders>
            <w:shd w:val="clear" w:color="auto" w:fill="E6EED5"/>
          </w:tcPr>
          <w:p w14:paraId="0BA67EC3" w14:textId="77777777" w:rsidR="003A3ECA" w:rsidRPr="00CF5878" w:rsidRDefault="003A3ECA" w:rsidP="003A3ECA">
            <w:pPr>
              <w:pStyle w:val="Table2"/>
              <w:cnfStyle w:val="000000010000" w:firstRow="0" w:lastRow="0" w:firstColumn="0" w:lastColumn="0" w:oddVBand="0" w:evenVBand="0" w:oddHBand="0" w:evenHBand="1" w:firstRowFirstColumn="0" w:firstRowLastColumn="0" w:lastRowFirstColumn="0" w:lastRowLastColumn="0"/>
            </w:pPr>
            <w:r w:rsidRPr="00CF5878">
              <w:t>Private individuals</w:t>
            </w:r>
          </w:p>
          <w:p w14:paraId="0D59A49B" w14:textId="77777777" w:rsidR="003A3ECA" w:rsidRPr="00CF5878" w:rsidRDefault="003A3ECA" w:rsidP="003A3ECA">
            <w:pPr>
              <w:pStyle w:val="Table2"/>
              <w:cnfStyle w:val="000000010000" w:firstRow="0" w:lastRow="0" w:firstColumn="0" w:lastColumn="0" w:oddVBand="0" w:evenVBand="0" w:oddHBand="0" w:evenHBand="1" w:firstRowFirstColumn="0" w:firstRowLastColumn="0" w:lastRowFirstColumn="0" w:lastRowLastColumn="0"/>
            </w:pPr>
          </w:p>
          <w:p w14:paraId="430C96C4" w14:textId="77777777" w:rsidR="003A3ECA" w:rsidRPr="00CF5878" w:rsidRDefault="003A3ECA" w:rsidP="003A3ECA">
            <w:pPr>
              <w:pStyle w:val="Table2"/>
              <w:cnfStyle w:val="000000010000" w:firstRow="0" w:lastRow="0" w:firstColumn="0" w:lastColumn="0" w:oddVBand="0" w:evenVBand="0" w:oddHBand="0" w:evenHBand="1" w:firstRowFirstColumn="0" w:firstRowLastColumn="0" w:lastRowFirstColumn="0" w:lastRowLastColumn="0"/>
            </w:pPr>
            <w:r w:rsidRPr="00CF5878">
              <w:t>Ceres Natural Foods</w:t>
            </w:r>
          </w:p>
        </w:tc>
        <w:tc>
          <w:tcPr>
            <w:tcW w:w="6428" w:type="dxa"/>
            <w:tcBorders>
              <w:left w:val="single" w:sz="4" w:space="0" w:color="auto"/>
              <w:bottom w:val="single" w:sz="4" w:space="0" w:color="auto"/>
            </w:tcBorders>
            <w:shd w:val="clear" w:color="auto" w:fill="E6EED5"/>
          </w:tcPr>
          <w:p w14:paraId="5500A97B" w14:textId="77777777" w:rsidR="003A3ECA" w:rsidRPr="00CF5878" w:rsidRDefault="003A3ECA" w:rsidP="003A3ECA">
            <w:pPr>
              <w:pStyle w:val="Table2"/>
              <w:ind w:left="77" w:firstLine="0"/>
              <w:cnfStyle w:val="000000010000" w:firstRow="0" w:lastRow="0" w:firstColumn="0" w:lastColumn="0" w:oddVBand="0" w:evenVBand="0" w:oddHBand="0" w:evenHBand="1" w:firstRowFirstColumn="0" w:firstRowLastColumn="0" w:lastRowFirstColumn="0" w:lastRowLastColumn="0"/>
            </w:pPr>
            <w:r w:rsidRPr="00CF5878">
              <w:t>If the application is approved, due to the voluntary nature of the permission, the horticultural industry will only use irradiation where they believe a net benefit exists and a cost benefit analysis of all the other alternative phytosanitary measures is not necessary.</w:t>
            </w:r>
          </w:p>
          <w:p w14:paraId="1572AA14" w14:textId="77777777" w:rsidR="003A3ECA" w:rsidRPr="00CF5878" w:rsidRDefault="003A3ECA" w:rsidP="003A3ECA">
            <w:pPr>
              <w:pStyle w:val="Table2"/>
              <w:ind w:left="77" w:firstLine="0"/>
              <w:cnfStyle w:val="000000010000" w:firstRow="0" w:lastRow="0" w:firstColumn="0" w:lastColumn="0" w:oddVBand="0" w:evenVBand="0" w:oddHBand="0" w:evenHBand="1" w:firstRowFirstColumn="0" w:firstRowLastColumn="0" w:lastRowFirstColumn="0" w:lastRowLastColumn="0"/>
            </w:pPr>
          </w:p>
          <w:p w14:paraId="19A10FFF" w14:textId="6C05D72E" w:rsidR="003A3ECA" w:rsidRPr="00CF5878" w:rsidRDefault="003A3ECA" w:rsidP="001860AC">
            <w:pPr>
              <w:pStyle w:val="Table2"/>
              <w:ind w:left="77" w:firstLine="0"/>
              <w:cnfStyle w:val="000000010000" w:firstRow="0" w:lastRow="0" w:firstColumn="0" w:lastColumn="0" w:oddVBand="0" w:evenVBand="0" w:oddHBand="0" w:evenHBand="1" w:firstRowFirstColumn="0" w:firstRowLastColumn="0" w:lastRowFirstColumn="0" w:lastRowLastColumn="0"/>
            </w:pPr>
            <w:r w:rsidRPr="00CF5878">
              <w:t>In terms of the benefits of phytosanitary irradiation, this issue has been addressed in Section 2 of SD1, where FSANZ’s risk assessment demonstrates the technological justification and efficacy of treating fruit and vegetables with irradiation as a phytosanitary measure</w:t>
            </w:r>
            <w:r w:rsidR="00B36887">
              <w:t>.</w:t>
            </w:r>
          </w:p>
        </w:tc>
      </w:tr>
      <w:tr w:rsidR="00F6228C" w:rsidRPr="00125194" w14:paraId="5FAB51E5" w14:textId="77777777" w:rsidTr="008C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Borders>
              <w:bottom w:val="single" w:sz="4" w:space="0" w:color="auto"/>
              <w:right w:val="single" w:sz="4" w:space="0" w:color="auto"/>
            </w:tcBorders>
            <w:shd w:val="clear" w:color="auto" w:fill="auto"/>
          </w:tcPr>
          <w:p w14:paraId="267F1779" w14:textId="19A1DBFA" w:rsidR="003A3ECA" w:rsidRDefault="00614E7D" w:rsidP="00614E7D">
            <w:pPr>
              <w:pStyle w:val="Table2"/>
              <w:ind w:left="0" w:firstLine="0"/>
              <w:jc w:val="center"/>
              <w:rPr>
                <w:b w:val="0"/>
              </w:rPr>
            </w:pPr>
            <w:r>
              <w:rPr>
                <w:b w:val="0"/>
              </w:rPr>
              <w:t>31</w:t>
            </w:r>
          </w:p>
        </w:tc>
        <w:tc>
          <w:tcPr>
            <w:tcW w:w="4653" w:type="dxa"/>
            <w:tcBorders>
              <w:bottom w:val="single" w:sz="4" w:space="0" w:color="auto"/>
              <w:right w:val="single" w:sz="4" w:space="0" w:color="auto"/>
            </w:tcBorders>
            <w:shd w:val="clear" w:color="auto" w:fill="auto"/>
          </w:tcPr>
          <w:p w14:paraId="7019CF45" w14:textId="77777777" w:rsidR="003A3ECA" w:rsidRPr="00C74199" w:rsidRDefault="003A3ECA" w:rsidP="003A3ECA">
            <w:pPr>
              <w:pStyle w:val="Table2"/>
              <w:ind w:left="0" w:firstLine="0"/>
              <w:cnfStyle w:val="000000100000" w:firstRow="0" w:lastRow="0" w:firstColumn="0" w:lastColumn="0" w:oddVBand="0" w:evenVBand="0" w:oddHBand="1" w:evenHBand="0" w:firstRowFirstColumn="0" w:firstRowLastColumn="0" w:lastRowFirstColumn="0" w:lastRowLastColumn="0"/>
            </w:pPr>
            <w:r w:rsidRPr="00C74199">
              <w:t xml:space="preserve">Submitters were of the view that consumers should be given the choice as to whether or not they purchase irradiated foods. </w:t>
            </w:r>
          </w:p>
          <w:p w14:paraId="29316ACD" w14:textId="77777777" w:rsidR="003A3ECA" w:rsidRPr="00C74199" w:rsidRDefault="003A3ECA" w:rsidP="003A3ECA">
            <w:pPr>
              <w:pStyle w:val="Table2"/>
              <w:cnfStyle w:val="000000100000" w:firstRow="0" w:lastRow="0" w:firstColumn="0" w:lastColumn="0" w:oddVBand="0" w:evenVBand="0" w:oddHBand="1" w:evenHBand="0" w:firstRowFirstColumn="0" w:firstRowLastColumn="0" w:lastRowFirstColumn="0" w:lastRowLastColumn="0"/>
            </w:pPr>
          </w:p>
          <w:p w14:paraId="74B45286" w14:textId="2C8FCE42" w:rsidR="003A3ECA" w:rsidRPr="00CF5878" w:rsidRDefault="003A3ECA" w:rsidP="003A3ECA">
            <w:pPr>
              <w:pStyle w:val="Table2"/>
              <w:ind w:left="0" w:firstLine="0"/>
              <w:cnfStyle w:val="000000100000" w:firstRow="0" w:lastRow="0" w:firstColumn="0" w:lastColumn="0" w:oddVBand="0" w:evenVBand="0" w:oddHBand="1" w:evenHBand="0" w:firstRowFirstColumn="0" w:firstRowLastColumn="0" w:lastRowFirstColumn="0" w:lastRowLastColumn="0"/>
            </w:pPr>
            <w:r w:rsidRPr="00C74199">
              <w:t>Some submitters expressed these views under the incorrect assumption that irradiation would be mandatory for all fresh produce and, as such, non-irradiated produce would no longer be available</w:t>
            </w:r>
            <w:r>
              <w:t>.</w:t>
            </w:r>
          </w:p>
        </w:tc>
        <w:tc>
          <w:tcPr>
            <w:tcW w:w="2096" w:type="dxa"/>
            <w:tcBorders>
              <w:left w:val="single" w:sz="4" w:space="0" w:color="auto"/>
              <w:bottom w:val="single" w:sz="4" w:space="0" w:color="auto"/>
              <w:right w:val="single" w:sz="4" w:space="0" w:color="auto"/>
            </w:tcBorders>
            <w:shd w:val="clear" w:color="auto" w:fill="auto"/>
          </w:tcPr>
          <w:p w14:paraId="44CEC927" w14:textId="57C733D7" w:rsidR="003A3ECA" w:rsidRPr="00CF5878" w:rsidRDefault="003A3ECA" w:rsidP="003A3ECA">
            <w:pPr>
              <w:pStyle w:val="Table2"/>
              <w:cnfStyle w:val="000000100000" w:firstRow="0" w:lastRow="0" w:firstColumn="0" w:lastColumn="0" w:oddVBand="0" w:evenVBand="0" w:oddHBand="1" w:evenHBand="0" w:firstRowFirstColumn="0" w:firstRowLastColumn="0" w:lastRowFirstColumn="0" w:lastRowLastColumn="0"/>
            </w:pPr>
            <w:r w:rsidRPr="00C74199">
              <w:t>Private individuals</w:t>
            </w:r>
          </w:p>
        </w:tc>
        <w:tc>
          <w:tcPr>
            <w:tcW w:w="6428" w:type="dxa"/>
            <w:tcBorders>
              <w:left w:val="single" w:sz="4" w:space="0" w:color="auto"/>
              <w:bottom w:val="single" w:sz="4" w:space="0" w:color="auto"/>
            </w:tcBorders>
            <w:shd w:val="clear" w:color="auto" w:fill="auto"/>
          </w:tcPr>
          <w:p w14:paraId="4D2FD72D" w14:textId="791B63D8" w:rsidR="00576527" w:rsidRDefault="00576527" w:rsidP="003A3ECA">
            <w:pPr>
              <w:pStyle w:val="Table2"/>
              <w:ind w:left="77" w:firstLine="0"/>
              <w:cnfStyle w:val="000000100000" w:firstRow="0" w:lastRow="0" w:firstColumn="0" w:lastColumn="0" w:oddVBand="0" w:evenVBand="0" w:oddHBand="1" w:evenHBand="0" w:firstRowFirstColumn="0" w:firstRowLastColumn="0" w:lastRowFirstColumn="0" w:lastRowLastColumn="0"/>
            </w:pPr>
            <w:r>
              <w:t xml:space="preserve">Mandatory labelling </w:t>
            </w:r>
            <w:r w:rsidRPr="00B36887">
              <w:t>requirements for irradiated f</w:t>
            </w:r>
            <w:r>
              <w:t xml:space="preserve">ruit and vegetables will </w:t>
            </w:r>
            <w:r w:rsidRPr="00B36887">
              <w:t xml:space="preserve">enable consumers to make </w:t>
            </w:r>
            <w:r>
              <w:t xml:space="preserve">an </w:t>
            </w:r>
            <w:r w:rsidRPr="00B36887">
              <w:t>informed choice</w:t>
            </w:r>
            <w:r>
              <w:t>.</w:t>
            </w:r>
          </w:p>
          <w:p w14:paraId="6B720288" w14:textId="77777777" w:rsidR="00576527" w:rsidRDefault="00576527" w:rsidP="003A3ECA">
            <w:pPr>
              <w:pStyle w:val="Table2"/>
              <w:ind w:left="77" w:firstLine="0"/>
              <w:cnfStyle w:val="000000100000" w:firstRow="0" w:lastRow="0" w:firstColumn="0" w:lastColumn="0" w:oddVBand="0" w:evenVBand="0" w:oddHBand="1" w:evenHBand="0" w:firstRowFirstColumn="0" w:firstRowLastColumn="0" w:lastRowFirstColumn="0" w:lastRowLastColumn="0"/>
            </w:pPr>
          </w:p>
          <w:p w14:paraId="36F2ED41" w14:textId="3160D902" w:rsidR="003A3ECA" w:rsidRDefault="003A3ECA" w:rsidP="003A3ECA">
            <w:pPr>
              <w:pStyle w:val="Table2"/>
              <w:ind w:left="77" w:firstLine="0"/>
              <w:cnfStyle w:val="000000100000" w:firstRow="0" w:lastRow="0" w:firstColumn="0" w:lastColumn="0" w:oddVBand="0" w:evenVBand="0" w:oddHBand="1" w:evenHBand="0" w:firstRowFirstColumn="0" w:firstRowLastColumn="0" w:lastRowFirstColumn="0" w:lastRowLastColumn="0"/>
            </w:pPr>
            <w:r>
              <w:t xml:space="preserve">The application does not require the irradiation of all fruit and vegetables, rather it provides a safe post-harvest phytosanitary treatment option for industry to use. </w:t>
            </w:r>
          </w:p>
          <w:p w14:paraId="2084B58D" w14:textId="77777777" w:rsidR="003A3ECA" w:rsidRDefault="003A3ECA" w:rsidP="003A3ECA">
            <w:pPr>
              <w:pStyle w:val="Table2"/>
              <w:ind w:left="77" w:firstLine="0"/>
              <w:cnfStyle w:val="000000100000" w:firstRow="0" w:lastRow="0" w:firstColumn="0" w:lastColumn="0" w:oddVBand="0" w:evenVBand="0" w:oddHBand="1" w:evenHBand="0" w:firstRowFirstColumn="0" w:firstRowLastColumn="0" w:lastRowFirstColumn="0" w:lastRowLastColumn="0"/>
            </w:pPr>
          </w:p>
          <w:p w14:paraId="4C07BB5A" w14:textId="7E20B43C" w:rsidR="003A3ECA" w:rsidRPr="00CF5878" w:rsidRDefault="003A3ECA" w:rsidP="00B36887">
            <w:pPr>
              <w:pStyle w:val="Table2"/>
              <w:ind w:left="77" w:firstLine="0"/>
              <w:cnfStyle w:val="000000100000" w:firstRow="0" w:lastRow="0" w:firstColumn="0" w:lastColumn="0" w:oddVBand="0" w:evenVBand="0" w:oddHBand="1" w:evenHBand="0" w:firstRowFirstColumn="0" w:firstRowLastColumn="0" w:lastRowFirstColumn="0" w:lastRowLastColumn="0"/>
            </w:pPr>
          </w:p>
        </w:tc>
      </w:tr>
      <w:tr w:rsidR="00F6228C" w:rsidRPr="00125194" w14:paraId="224F7C9F" w14:textId="77777777" w:rsidTr="008C7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Borders>
              <w:bottom w:val="single" w:sz="4" w:space="0" w:color="auto"/>
              <w:right w:val="single" w:sz="4" w:space="0" w:color="auto"/>
            </w:tcBorders>
            <w:shd w:val="clear" w:color="auto" w:fill="E6EED5"/>
          </w:tcPr>
          <w:p w14:paraId="74BB3DFD" w14:textId="17C27B3E" w:rsidR="003A3ECA" w:rsidRDefault="00614E7D" w:rsidP="00614E7D">
            <w:pPr>
              <w:pStyle w:val="Table2"/>
              <w:ind w:left="0" w:firstLine="0"/>
              <w:jc w:val="center"/>
              <w:rPr>
                <w:b w:val="0"/>
              </w:rPr>
            </w:pPr>
            <w:r>
              <w:rPr>
                <w:b w:val="0"/>
              </w:rPr>
              <w:t>32</w:t>
            </w:r>
          </w:p>
        </w:tc>
        <w:tc>
          <w:tcPr>
            <w:tcW w:w="4653" w:type="dxa"/>
            <w:tcBorders>
              <w:bottom w:val="single" w:sz="4" w:space="0" w:color="auto"/>
              <w:right w:val="single" w:sz="4" w:space="0" w:color="auto"/>
            </w:tcBorders>
            <w:shd w:val="clear" w:color="auto" w:fill="E6EED5"/>
          </w:tcPr>
          <w:p w14:paraId="4E4618CE" w14:textId="63DBE924" w:rsidR="003A3ECA" w:rsidRPr="00C74199" w:rsidRDefault="003A3ECA" w:rsidP="003A3ECA">
            <w:pPr>
              <w:pStyle w:val="Table2"/>
              <w:ind w:left="0" w:firstLine="0"/>
              <w:cnfStyle w:val="000000010000" w:firstRow="0" w:lastRow="0" w:firstColumn="0" w:lastColumn="0" w:oddVBand="0" w:evenVBand="0" w:oddHBand="0" w:evenHBand="1" w:firstRowFirstColumn="0" w:firstRowLastColumn="0" w:lastRowFirstColumn="0" w:lastRowLastColumn="0"/>
            </w:pPr>
            <w:r w:rsidRPr="001D4206">
              <w:t>FSANZ has not investigated Australian public resistance to irradiation and is forcing this upon consumers.</w:t>
            </w:r>
            <w:r>
              <w:t xml:space="preserve"> </w:t>
            </w:r>
            <w:r w:rsidRPr="001D4206">
              <w:t>There is no reliable evidence that the Australian and New Zealand public are aware of, or will consent to, the widespread irradiation of fresh produce.</w:t>
            </w:r>
          </w:p>
        </w:tc>
        <w:tc>
          <w:tcPr>
            <w:tcW w:w="2096" w:type="dxa"/>
            <w:tcBorders>
              <w:left w:val="single" w:sz="4" w:space="0" w:color="auto"/>
              <w:bottom w:val="single" w:sz="4" w:space="0" w:color="auto"/>
              <w:right w:val="single" w:sz="4" w:space="0" w:color="auto"/>
            </w:tcBorders>
            <w:shd w:val="clear" w:color="auto" w:fill="E6EED5"/>
          </w:tcPr>
          <w:p w14:paraId="72328773" w14:textId="19FE030F" w:rsidR="003A3ECA" w:rsidRPr="00C74199" w:rsidRDefault="003A3ECA" w:rsidP="003A3ECA">
            <w:pPr>
              <w:pStyle w:val="Table2"/>
              <w:cnfStyle w:val="000000010000" w:firstRow="0" w:lastRow="0" w:firstColumn="0" w:lastColumn="0" w:oddVBand="0" w:evenVBand="0" w:oddHBand="0" w:evenHBand="1" w:firstRowFirstColumn="0" w:firstRowLastColumn="0" w:lastRowFirstColumn="0" w:lastRowLastColumn="0"/>
            </w:pPr>
            <w:r>
              <w:t xml:space="preserve">Private individuals </w:t>
            </w:r>
          </w:p>
        </w:tc>
        <w:tc>
          <w:tcPr>
            <w:tcW w:w="6428" w:type="dxa"/>
            <w:tcBorders>
              <w:left w:val="single" w:sz="4" w:space="0" w:color="auto"/>
              <w:bottom w:val="single" w:sz="4" w:space="0" w:color="auto"/>
            </w:tcBorders>
            <w:shd w:val="clear" w:color="auto" w:fill="E6EED5"/>
          </w:tcPr>
          <w:p w14:paraId="068ABE2E" w14:textId="637F94C3" w:rsidR="00497A34" w:rsidRPr="001416C2" w:rsidRDefault="00497A34" w:rsidP="00497A34">
            <w:pPr>
              <w:pStyle w:val="Table2"/>
              <w:ind w:left="77" w:firstLine="0"/>
              <w:cnfStyle w:val="000000010000" w:firstRow="0" w:lastRow="0" w:firstColumn="0" w:lastColumn="0" w:oddVBand="0" w:evenVBand="0" w:oddHBand="0" w:evenHBand="1" w:firstRowFirstColumn="0" w:firstRowLastColumn="0" w:lastRowFirstColumn="0" w:lastRowLastColumn="0"/>
              <w:rPr>
                <w:rFonts w:cs="Arial"/>
                <w:szCs w:val="18"/>
              </w:rPr>
            </w:pPr>
            <w:r w:rsidRPr="001416C2">
              <w:rPr>
                <w:rFonts w:cs="Arial"/>
                <w:szCs w:val="18"/>
              </w:rPr>
              <w:t>Approval of the application will not force irradiation upo</w:t>
            </w:r>
            <w:r w:rsidR="00E22594">
              <w:rPr>
                <w:rFonts w:cs="Arial"/>
                <w:szCs w:val="18"/>
              </w:rPr>
              <w:t xml:space="preserve">n consumers. As explained in this report, </w:t>
            </w:r>
            <w:r w:rsidRPr="001416C2">
              <w:rPr>
                <w:rFonts w:cs="Arial"/>
                <w:szCs w:val="18"/>
              </w:rPr>
              <w:t>ir</w:t>
            </w:r>
            <w:r>
              <w:rPr>
                <w:rFonts w:cs="Arial"/>
                <w:szCs w:val="18"/>
              </w:rPr>
              <w:t>radiation will remain voluntary and</w:t>
            </w:r>
            <w:r w:rsidRPr="001416C2">
              <w:rPr>
                <w:rFonts w:cs="Arial"/>
                <w:szCs w:val="18"/>
              </w:rPr>
              <w:t xml:space="preserve"> only a small proportion of fruit and vegetables available in Australian and New Zealand will be irradiated</w:t>
            </w:r>
            <w:r w:rsidR="001860AC">
              <w:rPr>
                <w:rFonts w:cs="Arial"/>
                <w:szCs w:val="18"/>
              </w:rPr>
              <w:t>. Specifically, t</w:t>
            </w:r>
            <w:r w:rsidR="001860AC" w:rsidRPr="001860AC">
              <w:rPr>
                <w:rFonts w:cs="Arial"/>
                <w:szCs w:val="18"/>
              </w:rPr>
              <w:t>he applicant has provided conservative estimates that between 0.3 – 8% of total fruit and vegetables consumed in Australia and New Zealand might be irradiated</w:t>
            </w:r>
            <w:r>
              <w:rPr>
                <w:rFonts w:cs="Arial"/>
                <w:szCs w:val="18"/>
              </w:rPr>
              <w:t>. L</w:t>
            </w:r>
            <w:r w:rsidRPr="001416C2">
              <w:rPr>
                <w:rFonts w:cs="Arial"/>
                <w:szCs w:val="18"/>
              </w:rPr>
              <w:t xml:space="preserve">abelling requirements will </w:t>
            </w:r>
            <w:r>
              <w:rPr>
                <w:rFonts w:cs="Arial"/>
                <w:szCs w:val="18"/>
              </w:rPr>
              <w:t xml:space="preserve">continue to </w:t>
            </w:r>
            <w:r w:rsidRPr="001416C2">
              <w:rPr>
                <w:rFonts w:cs="Arial"/>
                <w:szCs w:val="18"/>
              </w:rPr>
              <w:t xml:space="preserve">apply to enable consumers to make an informed choice. </w:t>
            </w:r>
          </w:p>
          <w:p w14:paraId="13AE9AF8" w14:textId="77777777" w:rsidR="00497A34" w:rsidRPr="001416C2" w:rsidRDefault="00497A34" w:rsidP="00497A34">
            <w:pPr>
              <w:pStyle w:val="Table2"/>
              <w:ind w:left="77" w:firstLine="0"/>
              <w:cnfStyle w:val="000000010000" w:firstRow="0" w:lastRow="0" w:firstColumn="0" w:lastColumn="0" w:oddVBand="0" w:evenVBand="0" w:oddHBand="0" w:evenHBand="1" w:firstRowFirstColumn="0" w:firstRowLastColumn="0" w:lastRowFirstColumn="0" w:lastRowLastColumn="0"/>
              <w:rPr>
                <w:rFonts w:cs="Arial"/>
                <w:szCs w:val="18"/>
              </w:rPr>
            </w:pPr>
          </w:p>
          <w:p w14:paraId="71020052" w14:textId="7AD17B61" w:rsidR="00497A34" w:rsidRDefault="00497A34" w:rsidP="00497A34">
            <w:pPr>
              <w:pStyle w:val="Table2"/>
              <w:ind w:left="77" w:firstLine="0"/>
              <w:cnfStyle w:val="000000010000" w:firstRow="0" w:lastRow="0" w:firstColumn="0" w:lastColumn="0" w:oddVBand="0" w:evenVBand="0" w:oddHBand="0" w:evenHBand="1" w:firstRowFirstColumn="0" w:firstRowLastColumn="0" w:lastRowFirstColumn="0" w:lastRowLastColumn="0"/>
            </w:pPr>
            <w:r w:rsidRPr="001416C2">
              <w:rPr>
                <w:rFonts w:cs="Arial"/>
                <w:szCs w:val="18"/>
              </w:rPr>
              <w:t>FSANZ acknowledges that</w:t>
            </w:r>
            <w:r>
              <w:rPr>
                <w:rFonts w:cs="Arial"/>
                <w:szCs w:val="18"/>
              </w:rPr>
              <w:t xml:space="preserve"> </w:t>
            </w:r>
            <w:r w:rsidRPr="001416C2">
              <w:rPr>
                <w:rFonts w:cs="Arial"/>
                <w:szCs w:val="18"/>
              </w:rPr>
              <w:t xml:space="preserve">consumers have limited exposure to irradiated food and labelling given the low numbers of irradiated food </w:t>
            </w:r>
            <w:r>
              <w:rPr>
                <w:rFonts w:cs="Arial"/>
                <w:szCs w:val="18"/>
              </w:rPr>
              <w:t xml:space="preserve">in the marketplace. This </w:t>
            </w:r>
            <w:r w:rsidRPr="001416C2">
              <w:rPr>
                <w:rFonts w:cs="Arial"/>
                <w:szCs w:val="18"/>
              </w:rPr>
              <w:t xml:space="preserve">may </w:t>
            </w:r>
            <w:r>
              <w:rPr>
                <w:rFonts w:cs="Arial"/>
                <w:szCs w:val="18"/>
              </w:rPr>
              <w:t xml:space="preserve">also </w:t>
            </w:r>
            <w:r w:rsidRPr="001416C2">
              <w:rPr>
                <w:rFonts w:cs="Arial"/>
                <w:szCs w:val="18"/>
              </w:rPr>
              <w:t xml:space="preserve">mean that consumer awareness and understanding of the food irradiation process and labelling requirements is low. </w:t>
            </w:r>
            <w:r>
              <w:rPr>
                <w:rFonts w:cs="Arial"/>
                <w:szCs w:val="18"/>
              </w:rPr>
              <w:t xml:space="preserve">See FSANZ’s </w:t>
            </w:r>
            <w:hyperlink r:id="rId27" w:history="1">
              <w:r w:rsidRPr="00D33EC4">
                <w:rPr>
                  <w:rStyle w:val="Hyperlink"/>
                </w:rPr>
                <w:t>2016 review of the mandatory labelling of irradiated food</w:t>
              </w:r>
            </w:hyperlink>
            <w:r>
              <w:t>.</w:t>
            </w:r>
          </w:p>
          <w:p w14:paraId="24B46744" w14:textId="77777777" w:rsidR="00497A34" w:rsidRDefault="00497A34" w:rsidP="00497A34">
            <w:pPr>
              <w:pStyle w:val="FSTableText"/>
              <w:ind w:left="77"/>
              <w:cnfStyle w:val="000000010000" w:firstRow="0" w:lastRow="0" w:firstColumn="0" w:lastColumn="0" w:oddVBand="0" w:evenVBand="0" w:oddHBand="0" w:evenHBand="1" w:firstRowFirstColumn="0" w:firstRowLastColumn="0" w:lastRowFirstColumn="0" w:lastRowLastColumn="0"/>
              <w:rPr>
                <w:sz w:val="18"/>
                <w:szCs w:val="18"/>
              </w:rPr>
            </w:pPr>
          </w:p>
          <w:p w14:paraId="17834735" w14:textId="2F266CFF" w:rsidR="003A3ECA" w:rsidRDefault="00497A34" w:rsidP="001860AC">
            <w:pPr>
              <w:pStyle w:val="FSTableText"/>
              <w:ind w:left="77"/>
              <w:cnfStyle w:val="000000010000" w:firstRow="0" w:lastRow="0" w:firstColumn="0" w:lastColumn="0" w:oddVBand="0" w:evenVBand="0" w:oddHBand="0" w:evenHBand="1" w:firstRowFirstColumn="0" w:firstRowLastColumn="0" w:lastRowFirstColumn="0" w:lastRowLastColumn="0"/>
            </w:pPr>
            <w:r w:rsidRPr="00156D20">
              <w:rPr>
                <w:sz w:val="18"/>
                <w:szCs w:val="18"/>
              </w:rPr>
              <w:t xml:space="preserve">FSANZ will continue to look for ways to raise awareness and understanding of the application and food irradiation more broadly. </w:t>
            </w:r>
          </w:p>
        </w:tc>
      </w:tr>
      <w:tr w:rsidR="00F6228C" w:rsidRPr="00125194" w14:paraId="24737CDF" w14:textId="77777777" w:rsidTr="008C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Borders>
              <w:bottom w:val="single" w:sz="4" w:space="0" w:color="auto"/>
              <w:right w:val="single" w:sz="4" w:space="0" w:color="auto"/>
            </w:tcBorders>
            <w:shd w:val="clear" w:color="auto" w:fill="auto"/>
          </w:tcPr>
          <w:p w14:paraId="4344FB1A" w14:textId="4CC309A1" w:rsidR="003A3ECA" w:rsidRDefault="00614E7D" w:rsidP="00614E7D">
            <w:pPr>
              <w:pStyle w:val="Table2"/>
              <w:ind w:left="0" w:firstLine="0"/>
              <w:jc w:val="center"/>
              <w:rPr>
                <w:b w:val="0"/>
              </w:rPr>
            </w:pPr>
            <w:r>
              <w:rPr>
                <w:b w:val="0"/>
              </w:rPr>
              <w:t>33</w:t>
            </w:r>
          </w:p>
        </w:tc>
        <w:tc>
          <w:tcPr>
            <w:tcW w:w="4653" w:type="dxa"/>
            <w:tcBorders>
              <w:bottom w:val="single" w:sz="4" w:space="0" w:color="auto"/>
              <w:right w:val="single" w:sz="4" w:space="0" w:color="auto"/>
            </w:tcBorders>
            <w:shd w:val="clear" w:color="auto" w:fill="auto"/>
          </w:tcPr>
          <w:p w14:paraId="4861DD33" w14:textId="7687265B" w:rsidR="003A3ECA" w:rsidRPr="00C74199" w:rsidRDefault="003A3ECA" w:rsidP="00354AC4">
            <w:pPr>
              <w:pStyle w:val="Table2"/>
              <w:ind w:left="0" w:firstLine="0"/>
              <w:cnfStyle w:val="000000100000" w:firstRow="0" w:lastRow="0" w:firstColumn="0" w:lastColumn="0" w:oddVBand="0" w:evenVBand="0" w:oddHBand="1" w:evenHBand="0" w:firstRowFirstColumn="0" w:firstRowLastColumn="0" w:lastRowFirstColumn="0" w:lastRowLastColumn="0"/>
            </w:pPr>
            <w:r w:rsidRPr="001D4206">
              <w:t>Many in the general public are not aware of the foods already approved for irradiation and likely not aware of the proposed changes.</w:t>
            </w:r>
            <w:r w:rsidR="00354AC4">
              <w:t xml:space="preserve"> </w:t>
            </w:r>
            <w:r w:rsidRPr="001D4206">
              <w:t xml:space="preserve">Surveys have shown that even when educated, public opinion is negative towards irradiation and it is not a preferred treatment. For example, market research was conducted for an article that appeared in The Land, </w:t>
            </w:r>
            <w:r w:rsidRPr="001D4206">
              <w:rPr>
                <w:i/>
              </w:rPr>
              <w:t>“The survey results showed that even when informed, irradiation was not the preferred treatment method among consumers.”</w:t>
            </w:r>
          </w:p>
        </w:tc>
        <w:tc>
          <w:tcPr>
            <w:tcW w:w="2096" w:type="dxa"/>
            <w:tcBorders>
              <w:left w:val="single" w:sz="4" w:space="0" w:color="auto"/>
              <w:bottom w:val="single" w:sz="4" w:space="0" w:color="auto"/>
              <w:right w:val="single" w:sz="4" w:space="0" w:color="auto"/>
            </w:tcBorders>
            <w:shd w:val="clear" w:color="auto" w:fill="auto"/>
          </w:tcPr>
          <w:p w14:paraId="6D6FD5AD" w14:textId="34D21606" w:rsidR="003A3ECA" w:rsidRPr="00C74199" w:rsidRDefault="003A3ECA" w:rsidP="003A3ECA">
            <w:pPr>
              <w:pStyle w:val="Table2"/>
              <w:cnfStyle w:val="000000100000" w:firstRow="0" w:lastRow="0" w:firstColumn="0" w:lastColumn="0" w:oddVBand="0" w:evenVBand="0" w:oddHBand="1" w:evenHBand="0" w:firstRowFirstColumn="0" w:firstRowLastColumn="0" w:lastRowFirstColumn="0" w:lastRowLastColumn="0"/>
            </w:pPr>
            <w:r>
              <w:t>Private individual</w:t>
            </w:r>
          </w:p>
        </w:tc>
        <w:tc>
          <w:tcPr>
            <w:tcW w:w="6428" w:type="dxa"/>
            <w:tcBorders>
              <w:left w:val="single" w:sz="4" w:space="0" w:color="auto"/>
              <w:bottom w:val="single" w:sz="4" w:space="0" w:color="auto"/>
            </w:tcBorders>
            <w:shd w:val="clear" w:color="auto" w:fill="auto"/>
          </w:tcPr>
          <w:p w14:paraId="7C7944E1" w14:textId="4913129E" w:rsidR="003A3ECA" w:rsidRDefault="005A563D" w:rsidP="003A3ECA">
            <w:pPr>
              <w:pStyle w:val="Table2"/>
              <w:ind w:left="77" w:firstLine="0"/>
              <w:cnfStyle w:val="000000100000" w:firstRow="0" w:lastRow="0" w:firstColumn="0" w:lastColumn="0" w:oddVBand="0" w:evenVBand="0" w:oddHBand="1" w:evenHBand="0" w:firstRowFirstColumn="0" w:firstRowLastColumn="0" w:lastRowFirstColumn="0" w:lastRowLastColumn="0"/>
            </w:pPr>
            <w:r>
              <w:t xml:space="preserve">Refer to response </w:t>
            </w:r>
            <w:r w:rsidR="00BF263D">
              <w:t>for</w:t>
            </w:r>
            <w:r>
              <w:t xml:space="preserve"> </w:t>
            </w:r>
            <w:r w:rsidR="008C78AA">
              <w:t>no.</w:t>
            </w:r>
            <w:r>
              <w:t xml:space="preserve"> 3</w:t>
            </w:r>
            <w:r w:rsidR="00BF263D">
              <w:t>2</w:t>
            </w:r>
            <w:r>
              <w:t>.</w:t>
            </w:r>
          </w:p>
          <w:p w14:paraId="76653A1E" w14:textId="6371C45D" w:rsidR="003A3ECA" w:rsidRDefault="003A3ECA" w:rsidP="009831B9">
            <w:pPr>
              <w:pStyle w:val="Table2"/>
              <w:ind w:left="77" w:firstLine="0"/>
              <w:cnfStyle w:val="000000100000" w:firstRow="0" w:lastRow="0" w:firstColumn="0" w:lastColumn="0" w:oddVBand="0" w:evenVBand="0" w:oddHBand="1" w:evenHBand="0" w:firstRowFirstColumn="0" w:firstRowLastColumn="0" w:lastRowFirstColumn="0" w:lastRowLastColumn="0"/>
            </w:pPr>
          </w:p>
        </w:tc>
      </w:tr>
      <w:tr w:rsidR="00F6228C" w:rsidRPr="00184817" w14:paraId="6D3D6C47" w14:textId="77777777" w:rsidTr="008C7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Borders>
              <w:right w:val="single" w:sz="4" w:space="0" w:color="auto"/>
            </w:tcBorders>
            <w:shd w:val="clear" w:color="auto" w:fill="C2D69B" w:themeFill="accent3" w:themeFillTint="99"/>
          </w:tcPr>
          <w:p w14:paraId="4E8F4333" w14:textId="419896B9" w:rsidR="003A3ECA" w:rsidRPr="00184817" w:rsidRDefault="003A3ECA" w:rsidP="00614E7D">
            <w:pPr>
              <w:pStyle w:val="Table2"/>
              <w:ind w:left="0" w:firstLine="0"/>
              <w:jc w:val="center"/>
              <w:rPr>
                <w:bCs/>
                <w:sz w:val="22"/>
                <w:szCs w:val="22"/>
              </w:rPr>
            </w:pPr>
          </w:p>
        </w:tc>
        <w:tc>
          <w:tcPr>
            <w:tcW w:w="4653" w:type="dxa"/>
            <w:tcBorders>
              <w:right w:val="single" w:sz="4" w:space="0" w:color="auto"/>
            </w:tcBorders>
            <w:shd w:val="clear" w:color="auto" w:fill="C2D69B" w:themeFill="accent3" w:themeFillTint="99"/>
          </w:tcPr>
          <w:p w14:paraId="6911CBB3" w14:textId="0B412C14" w:rsidR="003A3ECA" w:rsidRPr="00184817" w:rsidRDefault="003A3ECA" w:rsidP="003A3ECA">
            <w:pPr>
              <w:pStyle w:val="Table2"/>
              <w:ind w:left="0" w:firstLine="0"/>
              <w:cnfStyle w:val="000000010000" w:firstRow="0" w:lastRow="0" w:firstColumn="0" w:lastColumn="0" w:oddVBand="0" w:evenVBand="0" w:oddHBand="0" w:evenHBand="1" w:firstRowFirstColumn="0" w:firstRowLastColumn="0" w:lastRowFirstColumn="0" w:lastRowLastColumn="0"/>
              <w:rPr>
                <w:bCs w:val="0"/>
                <w:sz w:val="22"/>
                <w:szCs w:val="22"/>
              </w:rPr>
            </w:pPr>
            <w:r w:rsidRPr="00184817">
              <w:rPr>
                <w:b/>
                <w:bCs w:val="0"/>
                <w:sz w:val="22"/>
                <w:szCs w:val="22"/>
              </w:rPr>
              <w:t>FSANZ process</w:t>
            </w:r>
          </w:p>
        </w:tc>
        <w:tc>
          <w:tcPr>
            <w:tcW w:w="2096" w:type="dxa"/>
            <w:tcBorders>
              <w:left w:val="single" w:sz="4" w:space="0" w:color="auto"/>
              <w:right w:val="single" w:sz="4" w:space="0" w:color="auto"/>
            </w:tcBorders>
            <w:shd w:val="clear" w:color="auto" w:fill="C2D69B" w:themeFill="accent3" w:themeFillTint="99"/>
          </w:tcPr>
          <w:p w14:paraId="6AC07980" w14:textId="77777777" w:rsidR="003A3ECA" w:rsidRPr="00184817" w:rsidRDefault="003A3ECA" w:rsidP="003A3ECA">
            <w:pPr>
              <w:pStyle w:val="Table2"/>
              <w:cnfStyle w:val="000000010000" w:firstRow="0" w:lastRow="0" w:firstColumn="0" w:lastColumn="0" w:oddVBand="0" w:evenVBand="0" w:oddHBand="0" w:evenHBand="1" w:firstRowFirstColumn="0" w:firstRowLastColumn="0" w:lastRowFirstColumn="0" w:lastRowLastColumn="0"/>
              <w:rPr>
                <w:bCs w:val="0"/>
                <w:sz w:val="22"/>
                <w:szCs w:val="22"/>
              </w:rPr>
            </w:pPr>
          </w:p>
        </w:tc>
        <w:tc>
          <w:tcPr>
            <w:tcW w:w="6428" w:type="dxa"/>
            <w:tcBorders>
              <w:left w:val="single" w:sz="4" w:space="0" w:color="auto"/>
            </w:tcBorders>
            <w:shd w:val="clear" w:color="auto" w:fill="C2D69B" w:themeFill="accent3" w:themeFillTint="99"/>
          </w:tcPr>
          <w:p w14:paraId="75021DC8" w14:textId="10810B3B" w:rsidR="003A3ECA" w:rsidRPr="00184817" w:rsidRDefault="003A3ECA" w:rsidP="003A3ECA">
            <w:pPr>
              <w:pStyle w:val="Table2"/>
              <w:ind w:left="77" w:firstLine="0"/>
              <w:cnfStyle w:val="000000010000" w:firstRow="0" w:lastRow="0" w:firstColumn="0" w:lastColumn="0" w:oddVBand="0" w:evenVBand="0" w:oddHBand="0" w:evenHBand="1" w:firstRowFirstColumn="0" w:firstRowLastColumn="0" w:lastRowFirstColumn="0" w:lastRowLastColumn="0"/>
              <w:rPr>
                <w:bCs w:val="0"/>
                <w:sz w:val="22"/>
                <w:szCs w:val="22"/>
              </w:rPr>
            </w:pPr>
          </w:p>
        </w:tc>
      </w:tr>
      <w:tr w:rsidR="005F5A72" w:rsidRPr="005F5A72" w14:paraId="4D4076A9" w14:textId="77777777" w:rsidTr="008C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Borders>
              <w:right w:val="single" w:sz="4" w:space="0" w:color="auto"/>
            </w:tcBorders>
          </w:tcPr>
          <w:p w14:paraId="686FCBEA" w14:textId="7A6FE9D1" w:rsidR="003A3ECA" w:rsidRPr="005F5A72" w:rsidRDefault="00614E7D" w:rsidP="00614E7D">
            <w:pPr>
              <w:pStyle w:val="Table2"/>
              <w:ind w:left="0" w:firstLine="0"/>
              <w:jc w:val="center"/>
              <w:rPr>
                <w:b w:val="0"/>
              </w:rPr>
            </w:pPr>
            <w:r w:rsidRPr="005F5A72">
              <w:rPr>
                <w:b w:val="0"/>
              </w:rPr>
              <w:t>34</w:t>
            </w:r>
          </w:p>
        </w:tc>
        <w:tc>
          <w:tcPr>
            <w:tcW w:w="4653" w:type="dxa"/>
            <w:tcBorders>
              <w:right w:val="single" w:sz="4" w:space="0" w:color="auto"/>
            </w:tcBorders>
          </w:tcPr>
          <w:p w14:paraId="23EEAE0B" w14:textId="77777777" w:rsidR="003A3ECA" w:rsidRPr="005F5A72" w:rsidRDefault="003A3ECA" w:rsidP="003A3ECA">
            <w:pPr>
              <w:pStyle w:val="Table2"/>
              <w:ind w:left="0" w:firstLine="0"/>
              <w:cnfStyle w:val="000000100000" w:firstRow="0" w:lastRow="0" w:firstColumn="0" w:lastColumn="0" w:oddVBand="0" w:evenVBand="0" w:oddHBand="1" w:evenHBand="0" w:firstRowFirstColumn="0" w:firstRowLastColumn="0" w:lastRowFirstColumn="0" w:lastRowLastColumn="0"/>
            </w:pPr>
            <w:r w:rsidRPr="005F5A72">
              <w:t>Numerous submitters (including those submitting the ‘sample letter’) expressed concern regarding the expedited timeframe for this application, in particular, that they had not received adequate notice about the commencement of the CFS period, which was brought forward due to the applicant choosing to pay a fee to expedite the application.</w:t>
            </w:r>
          </w:p>
        </w:tc>
        <w:tc>
          <w:tcPr>
            <w:tcW w:w="2096" w:type="dxa"/>
            <w:tcBorders>
              <w:left w:val="single" w:sz="4" w:space="0" w:color="auto"/>
              <w:right w:val="single" w:sz="4" w:space="0" w:color="auto"/>
            </w:tcBorders>
          </w:tcPr>
          <w:p w14:paraId="1697B444" w14:textId="77777777" w:rsidR="003A3ECA" w:rsidRPr="005F5A72" w:rsidRDefault="003A3ECA" w:rsidP="003A3ECA">
            <w:pPr>
              <w:pStyle w:val="Table2"/>
              <w:ind w:left="0" w:firstLine="0"/>
              <w:cnfStyle w:val="000000100000" w:firstRow="0" w:lastRow="0" w:firstColumn="0" w:lastColumn="0" w:oddVBand="0" w:evenVBand="0" w:oddHBand="1" w:evenHBand="0" w:firstRowFirstColumn="0" w:firstRowLastColumn="0" w:lastRowFirstColumn="0" w:lastRowLastColumn="0"/>
            </w:pPr>
            <w:r w:rsidRPr="005F5A72">
              <w:t>Food Irradiation Watch/Gene Ethics</w:t>
            </w:r>
          </w:p>
          <w:p w14:paraId="54EB4721" w14:textId="77777777" w:rsidR="003A3ECA" w:rsidRPr="005F5A72" w:rsidRDefault="003A3ECA" w:rsidP="003A3ECA">
            <w:pPr>
              <w:pStyle w:val="Table2"/>
              <w:cnfStyle w:val="000000100000" w:firstRow="0" w:lastRow="0" w:firstColumn="0" w:lastColumn="0" w:oddVBand="0" w:evenVBand="0" w:oddHBand="1" w:evenHBand="0" w:firstRowFirstColumn="0" w:firstRowLastColumn="0" w:lastRowFirstColumn="0" w:lastRowLastColumn="0"/>
            </w:pPr>
          </w:p>
          <w:p w14:paraId="6114A031" w14:textId="77777777" w:rsidR="003A3ECA" w:rsidRPr="005F5A72" w:rsidRDefault="003A3ECA" w:rsidP="003A3ECA">
            <w:pPr>
              <w:pStyle w:val="Table2"/>
              <w:cnfStyle w:val="000000100000" w:firstRow="0" w:lastRow="0" w:firstColumn="0" w:lastColumn="0" w:oddVBand="0" w:evenVBand="0" w:oddHBand="1" w:evenHBand="0" w:firstRowFirstColumn="0" w:firstRowLastColumn="0" w:lastRowFirstColumn="0" w:lastRowLastColumn="0"/>
            </w:pPr>
            <w:r w:rsidRPr="005F5A72">
              <w:t>Private individuals</w:t>
            </w:r>
          </w:p>
        </w:tc>
        <w:tc>
          <w:tcPr>
            <w:tcW w:w="6428" w:type="dxa"/>
            <w:tcBorders>
              <w:left w:val="single" w:sz="4" w:space="0" w:color="auto"/>
            </w:tcBorders>
          </w:tcPr>
          <w:p w14:paraId="6F526485" w14:textId="77777777" w:rsidR="003A3ECA" w:rsidRPr="005F5A72" w:rsidRDefault="003A3ECA" w:rsidP="003A3ECA">
            <w:pPr>
              <w:pStyle w:val="Table2"/>
              <w:ind w:left="77" w:firstLine="0"/>
              <w:cnfStyle w:val="000000100000" w:firstRow="0" w:lastRow="0" w:firstColumn="0" w:lastColumn="0" w:oddVBand="0" w:evenVBand="0" w:oddHBand="1" w:evenHBand="0" w:firstRowFirstColumn="0" w:firstRowLastColumn="0" w:lastRowFirstColumn="0" w:lastRowLastColumn="0"/>
              <w:rPr>
                <w:szCs w:val="18"/>
              </w:rPr>
            </w:pPr>
            <w:r w:rsidRPr="005F5A72">
              <w:rPr>
                <w:szCs w:val="18"/>
              </w:rPr>
              <w:t xml:space="preserve">Public notice given by FSANZ was legally valid and complied with the requirements imposed by the relevant sections of the FSANZ Act. </w:t>
            </w:r>
          </w:p>
          <w:p w14:paraId="46E731A9" w14:textId="77777777" w:rsidR="003A3ECA" w:rsidRPr="005F5A72" w:rsidRDefault="003A3ECA" w:rsidP="003A3ECA">
            <w:pPr>
              <w:pStyle w:val="Table2"/>
              <w:ind w:left="77" w:firstLine="0"/>
              <w:cnfStyle w:val="000000100000" w:firstRow="0" w:lastRow="0" w:firstColumn="0" w:lastColumn="0" w:oddVBand="0" w:evenVBand="0" w:oddHBand="1" w:evenHBand="0" w:firstRowFirstColumn="0" w:firstRowLastColumn="0" w:lastRowFirstColumn="0" w:lastRowLastColumn="0"/>
              <w:rPr>
                <w:szCs w:val="18"/>
              </w:rPr>
            </w:pPr>
          </w:p>
          <w:p w14:paraId="2E68F73D" w14:textId="0AABA4A7" w:rsidR="003A3ECA" w:rsidRPr="005F5A72" w:rsidRDefault="003A3ECA" w:rsidP="003A3ECA">
            <w:pPr>
              <w:pStyle w:val="Table2"/>
              <w:ind w:left="77" w:firstLine="0"/>
              <w:cnfStyle w:val="000000100000" w:firstRow="0" w:lastRow="0" w:firstColumn="0" w:lastColumn="0" w:oddVBand="0" w:evenVBand="0" w:oddHBand="1" w:evenHBand="0" w:firstRowFirstColumn="0" w:firstRowLastColumn="0" w:lastRowFirstColumn="0" w:lastRowLastColumn="0"/>
              <w:rPr>
                <w:szCs w:val="18"/>
              </w:rPr>
            </w:pPr>
            <w:r w:rsidRPr="005F5A72">
              <w:rPr>
                <w:szCs w:val="18"/>
              </w:rPr>
              <w:t>FSANZ accepted the application on 27 November 2019 and this was publicly notified on 7 January 2020. As part of the notification, FSANZ published an indicative timeline, with a proposed start date of late November 2020. However, the applicant chose to expedite assessment of their application by paying the required fee. The assessment commenced on 12 May 2020</w:t>
            </w:r>
            <w:r w:rsidR="002D6B63">
              <w:rPr>
                <w:szCs w:val="18"/>
              </w:rPr>
              <w:t>, the date the fee was received</w:t>
            </w:r>
            <w:r w:rsidRPr="005F5A72">
              <w:rPr>
                <w:szCs w:val="18"/>
              </w:rPr>
              <w:t xml:space="preserve">. Accordingly, the application was publicly re-notified on 15 May 2020. The </w:t>
            </w:r>
            <w:r w:rsidR="002D6B63">
              <w:rPr>
                <w:szCs w:val="18"/>
              </w:rPr>
              <w:t>Call for Submissions</w:t>
            </w:r>
            <w:r w:rsidRPr="005F5A72">
              <w:rPr>
                <w:szCs w:val="18"/>
              </w:rPr>
              <w:t xml:space="preserve"> period was subsequently also brought forward</w:t>
            </w:r>
            <w:r w:rsidR="002D6B63">
              <w:rPr>
                <w:szCs w:val="18"/>
              </w:rPr>
              <w:t xml:space="preserve"> from early-April 202</w:t>
            </w:r>
            <w:r w:rsidR="00197E97">
              <w:rPr>
                <w:szCs w:val="18"/>
              </w:rPr>
              <w:t>1</w:t>
            </w:r>
            <w:r w:rsidR="002D6B63">
              <w:rPr>
                <w:szCs w:val="18"/>
              </w:rPr>
              <w:t xml:space="preserve"> to </w:t>
            </w:r>
            <w:r w:rsidRPr="005F5A72">
              <w:rPr>
                <w:szCs w:val="18"/>
              </w:rPr>
              <w:t xml:space="preserve">30 October 2020 </w:t>
            </w:r>
            <w:r w:rsidR="002D6B63">
              <w:rPr>
                <w:szCs w:val="18"/>
              </w:rPr>
              <w:t>to meet the 9 month statutory timeframe for General Level applications per the FSANZ Act.</w:t>
            </w:r>
          </w:p>
          <w:p w14:paraId="0BE1A6A5" w14:textId="77777777" w:rsidR="003A3ECA" w:rsidRPr="005F5A72" w:rsidRDefault="003A3ECA" w:rsidP="003A3ECA">
            <w:pPr>
              <w:pStyle w:val="Table2"/>
              <w:ind w:left="77" w:firstLine="0"/>
              <w:cnfStyle w:val="000000100000" w:firstRow="0" w:lastRow="0" w:firstColumn="0" w:lastColumn="0" w:oddVBand="0" w:evenVBand="0" w:oddHBand="1" w:evenHBand="0" w:firstRowFirstColumn="0" w:firstRowLastColumn="0" w:lastRowFirstColumn="0" w:lastRowLastColumn="0"/>
              <w:rPr>
                <w:szCs w:val="18"/>
              </w:rPr>
            </w:pPr>
          </w:p>
          <w:p w14:paraId="18325211" w14:textId="49CD9B34" w:rsidR="003A3ECA" w:rsidRPr="005F5A72" w:rsidRDefault="003A3ECA" w:rsidP="003A3ECA">
            <w:pPr>
              <w:pStyle w:val="Table2"/>
              <w:ind w:left="77" w:firstLine="0"/>
              <w:cnfStyle w:val="000000100000" w:firstRow="0" w:lastRow="0" w:firstColumn="0" w:lastColumn="0" w:oddVBand="0" w:evenVBand="0" w:oddHBand="1" w:evenHBand="0" w:firstRowFirstColumn="0" w:firstRowLastColumn="0" w:lastRowFirstColumn="0" w:lastRowLastColumn="0"/>
              <w:rPr>
                <w:szCs w:val="18"/>
              </w:rPr>
            </w:pPr>
            <w:r w:rsidRPr="005F5A72">
              <w:rPr>
                <w:szCs w:val="18"/>
              </w:rPr>
              <w:t>Updates to timelines for this and all applications and proposals are notified in the publically available FSANZ Work Plan. This is the key document regarding expected timetables for applications and proposals and is frequently updated.</w:t>
            </w:r>
          </w:p>
          <w:p w14:paraId="6FC80470" w14:textId="1FB95A7D" w:rsidR="00A8325C" w:rsidRPr="005F5A72" w:rsidRDefault="00A8325C" w:rsidP="003A3ECA">
            <w:pPr>
              <w:pStyle w:val="Table2"/>
              <w:ind w:left="77" w:firstLine="0"/>
              <w:cnfStyle w:val="000000100000" w:firstRow="0" w:lastRow="0" w:firstColumn="0" w:lastColumn="0" w:oddVBand="0" w:evenVBand="0" w:oddHBand="1" w:evenHBand="0" w:firstRowFirstColumn="0" w:firstRowLastColumn="0" w:lastRowFirstColumn="0" w:lastRowLastColumn="0"/>
              <w:rPr>
                <w:szCs w:val="18"/>
              </w:rPr>
            </w:pPr>
          </w:p>
          <w:p w14:paraId="24D123F6" w14:textId="5E4BC8DE" w:rsidR="00A8325C" w:rsidRPr="005F5A72" w:rsidRDefault="00A8325C" w:rsidP="003A3ECA">
            <w:pPr>
              <w:pStyle w:val="Table2"/>
              <w:ind w:left="77" w:firstLine="0"/>
              <w:cnfStyle w:val="000000100000" w:firstRow="0" w:lastRow="0" w:firstColumn="0" w:lastColumn="0" w:oddVBand="0" w:evenVBand="0" w:oddHBand="1" w:evenHBand="0" w:firstRowFirstColumn="0" w:firstRowLastColumn="0" w:lastRowFirstColumn="0" w:lastRowLastColumn="0"/>
              <w:rPr>
                <w:szCs w:val="18"/>
              </w:rPr>
            </w:pPr>
            <w:r w:rsidRPr="005F5A72">
              <w:rPr>
                <w:szCs w:val="18"/>
              </w:rPr>
              <w:t>FSANZ also notes the following</w:t>
            </w:r>
            <w:r w:rsidR="0055612A">
              <w:rPr>
                <w:szCs w:val="18"/>
              </w:rPr>
              <w:t>:</w:t>
            </w:r>
          </w:p>
          <w:p w14:paraId="0B24220F" w14:textId="77777777" w:rsidR="00A8325C" w:rsidRPr="005F5A72" w:rsidRDefault="00A8325C" w:rsidP="003A3ECA">
            <w:pPr>
              <w:pStyle w:val="Table2"/>
              <w:ind w:left="77" w:firstLine="0"/>
              <w:cnfStyle w:val="000000100000" w:firstRow="0" w:lastRow="0" w:firstColumn="0" w:lastColumn="0" w:oddVBand="0" w:evenVBand="0" w:oddHBand="1" w:evenHBand="0" w:firstRowFirstColumn="0" w:firstRowLastColumn="0" w:lastRowFirstColumn="0" w:lastRowLastColumn="0"/>
              <w:rPr>
                <w:szCs w:val="18"/>
              </w:rPr>
            </w:pPr>
          </w:p>
          <w:p w14:paraId="0F56F81F" w14:textId="686E67EC" w:rsidR="00A8325C" w:rsidRPr="005F5A72" w:rsidRDefault="00A8325C" w:rsidP="00E01B62">
            <w:pPr>
              <w:pStyle w:val="ListParagraph"/>
              <w:widowControl/>
              <w:numPr>
                <w:ilvl w:val="0"/>
                <w:numId w:val="14"/>
              </w:numPr>
              <w:ind w:left="354" w:hanging="284"/>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eastAsia="en-GB" w:bidi="ar-SA"/>
              </w:rPr>
            </w:pPr>
            <w:r w:rsidRPr="005F5A72">
              <w:rPr>
                <w:sz w:val="18"/>
                <w:szCs w:val="18"/>
              </w:rPr>
              <w:t>The initial period given for public consultation was six weeks</w:t>
            </w:r>
            <w:r w:rsidR="00A80814">
              <w:rPr>
                <w:sz w:val="18"/>
                <w:szCs w:val="18"/>
              </w:rPr>
              <w:t xml:space="preserve">, the standard length for </w:t>
            </w:r>
            <w:r w:rsidRPr="005F5A72">
              <w:rPr>
                <w:sz w:val="18"/>
                <w:szCs w:val="18"/>
              </w:rPr>
              <w:t>FSANZ public consultation</w:t>
            </w:r>
            <w:r w:rsidR="00A80814">
              <w:rPr>
                <w:sz w:val="18"/>
                <w:szCs w:val="18"/>
              </w:rPr>
              <w:t>, with the exception of eight week consultation</w:t>
            </w:r>
            <w:r w:rsidR="000A465E">
              <w:rPr>
                <w:sz w:val="18"/>
                <w:szCs w:val="18"/>
              </w:rPr>
              <w:t xml:space="preserve"> period</w:t>
            </w:r>
            <w:r w:rsidR="00A80814">
              <w:rPr>
                <w:sz w:val="18"/>
                <w:szCs w:val="18"/>
              </w:rPr>
              <w:t>s released between March and June 2020 in response to</w:t>
            </w:r>
            <w:r w:rsidRPr="005F5A72">
              <w:rPr>
                <w:sz w:val="18"/>
                <w:szCs w:val="18"/>
              </w:rPr>
              <w:t xml:space="preserve"> </w:t>
            </w:r>
            <w:r w:rsidR="001860AC">
              <w:rPr>
                <w:sz w:val="18"/>
                <w:szCs w:val="18"/>
              </w:rPr>
              <w:t>the Covid pandemic</w:t>
            </w:r>
            <w:r w:rsidRPr="005F5A72">
              <w:rPr>
                <w:sz w:val="18"/>
                <w:szCs w:val="18"/>
              </w:rPr>
              <w:t xml:space="preserve">. </w:t>
            </w:r>
          </w:p>
          <w:p w14:paraId="16796C18" w14:textId="77777777" w:rsidR="00A8325C" w:rsidRPr="005F5A72" w:rsidRDefault="00A8325C" w:rsidP="004427F9">
            <w:pPr>
              <w:ind w:left="354" w:hanging="284"/>
              <w:cnfStyle w:val="000000100000" w:firstRow="0" w:lastRow="0" w:firstColumn="0" w:lastColumn="0" w:oddVBand="0" w:evenVBand="0" w:oddHBand="1" w:evenHBand="0" w:firstRowFirstColumn="0" w:firstRowLastColumn="0" w:lastRowFirstColumn="0" w:lastRowLastColumn="0"/>
              <w:rPr>
                <w:sz w:val="18"/>
                <w:szCs w:val="18"/>
              </w:rPr>
            </w:pPr>
          </w:p>
          <w:p w14:paraId="4B349C5A" w14:textId="65099EBA" w:rsidR="00A8325C" w:rsidRPr="005F5A72" w:rsidRDefault="00A80814" w:rsidP="00E01B62">
            <w:pPr>
              <w:pStyle w:val="ListParagraph"/>
              <w:widowControl/>
              <w:numPr>
                <w:ilvl w:val="0"/>
                <w:numId w:val="14"/>
              </w:numPr>
              <w:ind w:left="354" w:hanging="284"/>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w:t>
            </w:r>
            <w:r w:rsidR="00A8325C" w:rsidRPr="005F5A72">
              <w:rPr>
                <w:sz w:val="18"/>
                <w:szCs w:val="18"/>
              </w:rPr>
              <w:t xml:space="preserve">ublic notice was given in both Australia </w:t>
            </w:r>
            <w:r>
              <w:rPr>
                <w:sz w:val="18"/>
                <w:szCs w:val="18"/>
              </w:rPr>
              <w:t xml:space="preserve">and New Zealand </w:t>
            </w:r>
            <w:r w:rsidR="00A8325C" w:rsidRPr="005F5A72">
              <w:rPr>
                <w:sz w:val="18"/>
                <w:szCs w:val="18"/>
              </w:rPr>
              <w:t>of the Call for Submission</w:t>
            </w:r>
            <w:r w:rsidR="008A4A61">
              <w:rPr>
                <w:sz w:val="18"/>
                <w:szCs w:val="18"/>
              </w:rPr>
              <w:t>s</w:t>
            </w:r>
            <w:r w:rsidR="00A8325C" w:rsidRPr="005F5A72">
              <w:rPr>
                <w:sz w:val="18"/>
                <w:szCs w:val="18"/>
              </w:rPr>
              <w:t xml:space="preserve"> and the dates for public comment</w:t>
            </w:r>
            <w:r>
              <w:rPr>
                <w:sz w:val="18"/>
                <w:szCs w:val="18"/>
              </w:rPr>
              <w:t xml:space="preserve"> in the following ways:</w:t>
            </w:r>
          </w:p>
          <w:p w14:paraId="3C5EF50C" w14:textId="77777777" w:rsidR="00A8325C" w:rsidRPr="005F5A72" w:rsidRDefault="00A8325C" w:rsidP="004427F9">
            <w:pPr>
              <w:pStyle w:val="ListParagraph"/>
              <w:ind w:left="354" w:hanging="284"/>
              <w:cnfStyle w:val="000000100000" w:firstRow="0" w:lastRow="0" w:firstColumn="0" w:lastColumn="0" w:oddVBand="0" w:evenVBand="0" w:oddHBand="1" w:evenHBand="0" w:firstRowFirstColumn="0" w:firstRowLastColumn="0" w:lastRowFirstColumn="0" w:lastRowLastColumn="0"/>
              <w:rPr>
                <w:sz w:val="18"/>
                <w:szCs w:val="18"/>
              </w:rPr>
            </w:pPr>
          </w:p>
          <w:p w14:paraId="402B3868" w14:textId="094E4BA6" w:rsidR="00A80814" w:rsidRPr="00A80814" w:rsidRDefault="00A8325C" w:rsidP="00E01B62">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18"/>
                <w:szCs w:val="18"/>
                <w:lang w:val="en-AU"/>
              </w:rPr>
            </w:pPr>
            <w:r w:rsidRPr="005F5A72">
              <w:rPr>
                <w:sz w:val="18"/>
                <w:szCs w:val="18"/>
              </w:rPr>
              <w:t xml:space="preserve">The revised </w:t>
            </w:r>
            <w:r w:rsidR="00A80814">
              <w:rPr>
                <w:sz w:val="18"/>
                <w:szCs w:val="18"/>
              </w:rPr>
              <w:t>dates for consultation were updated in the FSANZ W</w:t>
            </w:r>
            <w:r w:rsidRPr="005F5A72">
              <w:rPr>
                <w:sz w:val="18"/>
                <w:szCs w:val="18"/>
              </w:rPr>
              <w:t xml:space="preserve">ork </w:t>
            </w:r>
            <w:r w:rsidR="00A80814">
              <w:rPr>
                <w:sz w:val="18"/>
                <w:szCs w:val="18"/>
              </w:rPr>
              <w:t>P</w:t>
            </w:r>
            <w:r w:rsidRPr="005F5A72">
              <w:rPr>
                <w:sz w:val="18"/>
                <w:szCs w:val="18"/>
              </w:rPr>
              <w:t xml:space="preserve">lan </w:t>
            </w:r>
            <w:r w:rsidR="00A80814">
              <w:rPr>
                <w:sz w:val="18"/>
                <w:szCs w:val="18"/>
              </w:rPr>
              <w:t>and published on 18 May 2020.</w:t>
            </w:r>
          </w:p>
          <w:p w14:paraId="1BB8C66B" w14:textId="77777777" w:rsidR="00A80814" w:rsidRPr="00A80814" w:rsidRDefault="00A80814" w:rsidP="00A80814">
            <w:pPr>
              <w:pStyle w:val="ListParagraph"/>
              <w:ind w:left="714"/>
              <w:cnfStyle w:val="000000100000" w:firstRow="0" w:lastRow="0" w:firstColumn="0" w:lastColumn="0" w:oddVBand="0" w:evenVBand="0" w:oddHBand="1" w:evenHBand="0" w:firstRowFirstColumn="0" w:firstRowLastColumn="0" w:lastRowFirstColumn="0" w:lastRowLastColumn="0"/>
              <w:rPr>
                <w:sz w:val="18"/>
                <w:szCs w:val="18"/>
                <w:lang w:val="en-AU"/>
              </w:rPr>
            </w:pPr>
          </w:p>
          <w:p w14:paraId="21EBAAB9" w14:textId="0AE3BE30" w:rsidR="00A8325C" w:rsidRPr="005F5A72" w:rsidRDefault="00A8325C" w:rsidP="00E01B62">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18"/>
                <w:szCs w:val="18"/>
                <w:lang w:val="en-AU"/>
              </w:rPr>
            </w:pPr>
            <w:r w:rsidRPr="005F5A72">
              <w:rPr>
                <w:sz w:val="18"/>
                <w:szCs w:val="18"/>
              </w:rPr>
              <w:t xml:space="preserve">The Call for Submissions itself was notified </w:t>
            </w:r>
            <w:r w:rsidR="00A80814">
              <w:rPr>
                <w:sz w:val="18"/>
                <w:szCs w:val="18"/>
              </w:rPr>
              <w:t xml:space="preserve">on 30 October 2020 </w:t>
            </w:r>
            <w:r w:rsidR="004427F9">
              <w:rPr>
                <w:sz w:val="18"/>
                <w:szCs w:val="18"/>
              </w:rPr>
              <w:t>via a FSANZ</w:t>
            </w:r>
            <w:r w:rsidR="00A80814">
              <w:rPr>
                <w:sz w:val="18"/>
                <w:szCs w:val="18"/>
              </w:rPr>
              <w:t xml:space="preserve"> N</w:t>
            </w:r>
            <w:r w:rsidRPr="005F5A72">
              <w:rPr>
                <w:sz w:val="18"/>
                <w:szCs w:val="18"/>
              </w:rPr>
              <w:t xml:space="preserve">otification </w:t>
            </w:r>
            <w:r w:rsidR="00A80814">
              <w:rPr>
                <w:sz w:val="18"/>
                <w:szCs w:val="18"/>
              </w:rPr>
              <w:t>C</w:t>
            </w:r>
            <w:r w:rsidRPr="005F5A72">
              <w:rPr>
                <w:sz w:val="18"/>
                <w:szCs w:val="18"/>
              </w:rPr>
              <w:t>ircular</w:t>
            </w:r>
            <w:r w:rsidR="00A80814">
              <w:rPr>
                <w:sz w:val="18"/>
                <w:szCs w:val="18"/>
              </w:rPr>
              <w:t xml:space="preserve"> (with 6,700 subscribers)</w:t>
            </w:r>
            <w:r w:rsidRPr="005F5A72">
              <w:rPr>
                <w:sz w:val="18"/>
                <w:szCs w:val="18"/>
              </w:rPr>
              <w:t xml:space="preserve">, </w:t>
            </w:r>
            <w:r w:rsidR="004427F9">
              <w:rPr>
                <w:sz w:val="18"/>
                <w:szCs w:val="18"/>
              </w:rPr>
              <w:t xml:space="preserve">media release, </w:t>
            </w:r>
            <w:r w:rsidRPr="005F5A72">
              <w:rPr>
                <w:sz w:val="18"/>
                <w:szCs w:val="18"/>
              </w:rPr>
              <w:t xml:space="preserve">social media </w:t>
            </w:r>
            <w:r w:rsidRPr="005F5A72">
              <w:rPr>
                <w:sz w:val="18"/>
                <w:szCs w:val="18"/>
                <w:lang w:val="en-AU"/>
              </w:rPr>
              <w:t>(</w:t>
            </w:r>
            <w:r w:rsidR="00A80814">
              <w:rPr>
                <w:sz w:val="18"/>
                <w:szCs w:val="18"/>
                <w:lang w:val="en-AU"/>
              </w:rPr>
              <w:t xml:space="preserve">with </w:t>
            </w:r>
            <w:r w:rsidRPr="005F5A72">
              <w:rPr>
                <w:sz w:val="18"/>
                <w:szCs w:val="18"/>
                <w:lang w:val="en-AU"/>
              </w:rPr>
              <w:t>over 43,000 Facebook followers and 2,</w:t>
            </w:r>
            <w:r w:rsidR="00FD7246">
              <w:rPr>
                <w:sz w:val="18"/>
                <w:szCs w:val="18"/>
                <w:lang w:val="en-AU"/>
              </w:rPr>
              <w:t>5</w:t>
            </w:r>
            <w:r w:rsidRPr="005F5A72">
              <w:rPr>
                <w:sz w:val="18"/>
                <w:szCs w:val="18"/>
                <w:lang w:val="en-AU"/>
              </w:rPr>
              <w:t xml:space="preserve">00 Instagram followers), and </w:t>
            </w:r>
            <w:r w:rsidRPr="005F5A72">
              <w:rPr>
                <w:sz w:val="18"/>
                <w:szCs w:val="18"/>
              </w:rPr>
              <w:t xml:space="preserve">FSANZ Food </w:t>
            </w:r>
            <w:r w:rsidR="004427F9">
              <w:rPr>
                <w:sz w:val="18"/>
                <w:szCs w:val="18"/>
              </w:rPr>
              <w:t>Standards</w:t>
            </w:r>
            <w:r w:rsidRPr="005F5A72">
              <w:rPr>
                <w:sz w:val="18"/>
                <w:szCs w:val="18"/>
              </w:rPr>
              <w:t xml:space="preserve"> News (with </w:t>
            </w:r>
            <w:r w:rsidR="00FD7246">
              <w:rPr>
                <w:sz w:val="18"/>
                <w:szCs w:val="18"/>
                <w:lang w:val="en-AU"/>
              </w:rPr>
              <w:t>7,6</w:t>
            </w:r>
            <w:r w:rsidR="00A80814">
              <w:rPr>
                <w:sz w:val="18"/>
                <w:szCs w:val="18"/>
                <w:lang w:val="en-AU"/>
              </w:rPr>
              <w:t>00 subscribers</w:t>
            </w:r>
            <w:r w:rsidR="004427F9">
              <w:rPr>
                <w:sz w:val="18"/>
                <w:szCs w:val="18"/>
                <w:lang w:val="en-AU"/>
              </w:rPr>
              <w:t>)</w:t>
            </w:r>
            <w:r w:rsidRPr="005F5A72">
              <w:rPr>
                <w:sz w:val="18"/>
                <w:szCs w:val="18"/>
              </w:rPr>
              <w:t>.</w:t>
            </w:r>
          </w:p>
          <w:p w14:paraId="69013B1E" w14:textId="77777777" w:rsidR="00A8325C" w:rsidRPr="005F5A72" w:rsidRDefault="00A8325C" w:rsidP="00A8325C">
            <w:pPr>
              <w:cnfStyle w:val="000000100000" w:firstRow="0" w:lastRow="0" w:firstColumn="0" w:lastColumn="0" w:oddVBand="0" w:evenVBand="0" w:oddHBand="1" w:evenHBand="0" w:firstRowFirstColumn="0" w:firstRowLastColumn="0" w:lastRowFirstColumn="0" w:lastRowLastColumn="0"/>
              <w:rPr>
                <w:sz w:val="18"/>
                <w:szCs w:val="18"/>
              </w:rPr>
            </w:pPr>
          </w:p>
          <w:p w14:paraId="68731120" w14:textId="30B7C723" w:rsidR="00A8325C" w:rsidRPr="005F5A72" w:rsidRDefault="00A8325C" w:rsidP="00E01B62">
            <w:pPr>
              <w:pStyle w:val="ListParagraph"/>
              <w:widowControl/>
              <w:numPr>
                <w:ilvl w:val="0"/>
                <w:numId w:val="16"/>
              </w:numPr>
              <w:ind w:left="354" w:hanging="284"/>
              <w:contextualSpacing w:val="0"/>
              <w:cnfStyle w:val="000000100000" w:firstRow="0" w:lastRow="0" w:firstColumn="0" w:lastColumn="0" w:oddVBand="0" w:evenVBand="0" w:oddHBand="1" w:evenHBand="0" w:firstRowFirstColumn="0" w:firstRowLastColumn="0" w:lastRowFirstColumn="0" w:lastRowLastColumn="0"/>
              <w:rPr>
                <w:sz w:val="18"/>
                <w:szCs w:val="18"/>
              </w:rPr>
            </w:pPr>
            <w:r w:rsidRPr="005F5A72">
              <w:rPr>
                <w:sz w:val="18"/>
                <w:szCs w:val="18"/>
              </w:rPr>
              <w:t xml:space="preserve">The </w:t>
            </w:r>
            <w:r w:rsidR="00A80814">
              <w:rPr>
                <w:sz w:val="18"/>
                <w:szCs w:val="18"/>
              </w:rPr>
              <w:t>six</w:t>
            </w:r>
            <w:r w:rsidRPr="005F5A72">
              <w:rPr>
                <w:sz w:val="18"/>
                <w:szCs w:val="18"/>
              </w:rPr>
              <w:t xml:space="preserve"> week period for public consultation</w:t>
            </w:r>
            <w:r w:rsidR="000A465E">
              <w:rPr>
                <w:sz w:val="18"/>
                <w:szCs w:val="18"/>
              </w:rPr>
              <w:t xml:space="preserve"> commenced on 30 October 2020, </w:t>
            </w:r>
            <w:r w:rsidRPr="005F5A72">
              <w:rPr>
                <w:sz w:val="18"/>
                <w:szCs w:val="18"/>
              </w:rPr>
              <w:t>did not occur over a period with ma</w:t>
            </w:r>
            <w:r w:rsidR="00CA463B" w:rsidRPr="005F5A72">
              <w:rPr>
                <w:sz w:val="18"/>
                <w:szCs w:val="18"/>
              </w:rPr>
              <w:t>jor public holidays</w:t>
            </w:r>
            <w:r w:rsidR="000A465E">
              <w:rPr>
                <w:sz w:val="18"/>
                <w:szCs w:val="18"/>
              </w:rPr>
              <w:t xml:space="preserve"> and was</w:t>
            </w:r>
            <w:r w:rsidR="00CA463B" w:rsidRPr="002E4BD1">
              <w:rPr>
                <w:sz w:val="18"/>
                <w:szCs w:val="18"/>
              </w:rPr>
              <w:t xml:space="preserve"> eight weeks before Christmas</w:t>
            </w:r>
            <w:r w:rsidR="00CA463B" w:rsidRPr="005F5A72">
              <w:rPr>
                <w:sz w:val="18"/>
                <w:szCs w:val="18"/>
              </w:rPr>
              <w:t>.</w:t>
            </w:r>
          </w:p>
          <w:p w14:paraId="2164DEC1" w14:textId="77777777" w:rsidR="00A8325C" w:rsidRPr="005F5A72" w:rsidRDefault="00A8325C" w:rsidP="00A8325C">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p w14:paraId="6DB6C61D" w14:textId="646861A1" w:rsidR="000A465E" w:rsidRDefault="000A465E" w:rsidP="000A465E">
            <w:pPr>
              <w:pStyle w:val="ListParagraph"/>
              <w:widowControl/>
              <w:numPr>
                <w:ilvl w:val="0"/>
                <w:numId w:val="16"/>
              </w:numPr>
              <w:ind w:left="354" w:hanging="284"/>
              <w:contextualSpacing w:val="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following options were available for those unable to make the deadline for submissions: </w:t>
            </w:r>
          </w:p>
          <w:p w14:paraId="7E1EAE70" w14:textId="77777777" w:rsidR="000A465E" w:rsidRPr="000A465E" w:rsidRDefault="000A465E" w:rsidP="000A465E">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p w14:paraId="3CD8B653" w14:textId="37759CA5" w:rsidR="000A465E" w:rsidRDefault="000A465E" w:rsidP="000A465E">
            <w:pPr>
              <w:pStyle w:val="ListParagraph"/>
              <w:widowControl/>
              <w:numPr>
                <w:ilvl w:val="0"/>
                <w:numId w:val="21"/>
              </w:numPr>
              <w:contextualSpacing w:val="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Submitters </w:t>
            </w:r>
            <w:r w:rsidR="001860AC">
              <w:rPr>
                <w:sz w:val="18"/>
                <w:szCs w:val="18"/>
              </w:rPr>
              <w:t xml:space="preserve">could </w:t>
            </w:r>
            <w:r>
              <w:rPr>
                <w:sz w:val="18"/>
                <w:szCs w:val="18"/>
              </w:rPr>
              <w:t xml:space="preserve">ask to provide draft comments before the close of submissions, finalising their comments post the closing date by an agreed deadline.  </w:t>
            </w:r>
          </w:p>
          <w:p w14:paraId="6D6C17AE" w14:textId="77777777" w:rsidR="000A465E" w:rsidRDefault="000A465E" w:rsidP="000A465E">
            <w:pPr>
              <w:pStyle w:val="ListParagraph"/>
              <w:widowControl/>
              <w:ind w:left="714"/>
              <w:contextualSpacing w:val="0"/>
              <w:cnfStyle w:val="000000100000" w:firstRow="0" w:lastRow="0" w:firstColumn="0" w:lastColumn="0" w:oddVBand="0" w:evenVBand="0" w:oddHBand="1" w:evenHBand="0" w:firstRowFirstColumn="0" w:firstRowLastColumn="0" w:lastRowFirstColumn="0" w:lastRowLastColumn="0"/>
              <w:rPr>
                <w:sz w:val="18"/>
                <w:szCs w:val="18"/>
              </w:rPr>
            </w:pPr>
          </w:p>
          <w:p w14:paraId="07C45F46" w14:textId="12B26493" w:rsidR="000A465E" w:rsidRDefault="000A465E" w:rsidP="000A465E">
            <w:pPr>
              <w:pStyle w:val="ListParagraph"/>
              <w:widowControl/>
              <w:numPr>
                <w:ilvl w:val="0"/>
                <w:numId w:val="21"/>
              </w:numPr>
              <w:contextualSpacing w:val="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Submitters </w:t>
            </w:r>
            <w:r w:rsidR="001860AC">
              <w:rPr>
                <w:sz w:val="18"/>
                <w:szCs w:val="18"/>
              </w:rPr>
              <w:t xml:space="preserve">were </w:t>
            </w:r>
            <w:r>
              <w:rPr>
                <w:sz w:val="18"/>
                <w:szCs w:val="18"/>
              </w:rPr>
              <w:t xml:space="preserve">able to </w:t>
            </w:r>
            <w:r w:rsidRPr="005F5A72">
              <w:rPr>
                <w:sz w:val="18"/>
                <w:szCs w:val="18"/>
              </w:rPr>
              <w:t xml:space="preserve">lodge </w:t>
            </w:r>
            <w:r>
              <w:rPr>
                <w:sz w:val="18"/>
                <w:szCs w:val="18"/>
              </w:rPr>
              <w:t xml:space="preserve">a late submission after the period </w:t>
            </w:r>
            <w:r w:rsidRPr="005F5A72">
              <w:rPr>
                <w:sz w:val="18"/>
                <w:szCs w:val="18"/>
              </w:rPr>
              <w:t xml:space="preserve">for public submissions </w:t>
            </w:r>
            <w:r w:rsidR="001860AC">
              <w:rPr>
                <w:sz w:val="18"/>
                <w:szCs w:val="18"/>
              </w:rPr>
              <w:t>had</w:t>
            </w:r>
            <w:r w:rsidR="001860AC" w:rsidRPr="005F5A72">
              <w:rPr>
                <w:sz w:val="18"/>
                <w:szCs w:val="18"/>
              </w:rPr>
              <w:t xml:space="preserve"> </w:t>
            </w:r>
            <w:r w:rsidRPr="005F5A72">
              <w:rPr>
                <w:sz w:val="18"/>
                <w:szCs w:val="18"/>
              </w:rPr>
              <w:t>closed</w:t>
            </w:r>
            <w:r>
              <w:rPr>
                <w:sz w:val="18"/>
                <w:szCs w:val="18"/>
              </w:rPr>
              <w:t xml:space="preserve">, to which the Board </w:t>
            </w:r>
            <w:r w:rsidR="001860AC">
              <w:rPr>
                <w:sz w:val="18"/>
                <w:szCs w:val="18"/>
              </w:rPr>
              <w:t xml:space="preserve">could </w:t>
            </w:r>
            <w:r>
              <w:rPr>
                <w:sz w:val="18"/>
                <w:szCs w:val="18"/>
              </w:rPr>
              <w:t>still have regard in their decision making</w:t>
            </w:r>
            <w:r w:rsidRPr="005F5A72">
              <w:rPr>
                <w:sz w:val="18"/>
                <w:szCs w:val="18"/>
              </w:rPr>
              <w:t>.</w:t>
            </w:r>
          </w:p>
          <w:p w14:paraId="748D454D" w14:textId="16E66723" w:rsidR="000A465E" w:rsidRPr="000A465E" w:rsidRDefault="000A465E" w:rsidP="000A465E">
            <w:pPr>
              <w:widowControl/>
              <w:cnfStyle w:val="000000100000" w:firstRow="0" w:lastRow="0" w:firstColumn="0" w:lastColumn="0" w:oddVBand="0" w:evenVBand="0" w:oddHBand="1" w:evenHBand="0" w:firstRowFirstColumn="0" w:firstRowLastColumn="0" w:lastRowFirstColumn="0" w:lastRowLastColumn="0"/>
              <w:rPr>
                <w:sz w:val="18"/>
                <w:szCs w:val="18"/>
              </w:rPr>
            </w:pPr>
          </w:p>
          <w:p w14:paraId="35C25BB2" w14:textId="1C975C0D" w:rsidR="00A8325C" w:rsidRPr="000A465E" w:rsidRDefault="000A465E" w:rsidP="000A465E">
            <w:pPr>
              <w:pStyle w:val="ListParagraph"/>
              <w:widowControl/>
              <w:numPr>
                <w:ilvl w:val="0"/>
                <w:numId w:val="21"/>
              </w:numPr>
              <w:contextualSpacing w:val="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Submitters </w:t>
            </w:r>
            <w:r w:rsidR="001860AC">
              <w:rPr>
                <w:sz w:val="18"/>
                <w:szCs w:val="18"/>
              </w:rPr>
              <w:t xml:space="preserve">could </w:t>
            </w:r>
            <w:r>
              <w:rPr>
                <w:sz w:val="18"/>
                <w:szCs w:val="18"/>
              </w:rPr>
              <w:t xml:space="preserve">request </w:t>
            </w:r>
            <w:r w:rsidR="00A8325C" w:rsidRPr="000A465E">
              <w:rPr>
                <w:sz w:val="18"/>
                <w:szCs w:val="18"/>
              </w:rPr>
              <w:t xml:space="preserve">an extension </w:t>
            </w:r>
            <w:r>
              <w:rPr>
                <w:sz w:val="18"/>
                <w:szCs w:val="18"/>
              </w:rPr>
              <w:t>to the Call for Submissions period as noted on the front page of all FSANZ Call for Submissions reports</w:t>
            </w:r>
            <w:r w:rsidR="00A8325C" w:rsidRPr="000A465E">
              <w:rPr>
                <w:sz w:val="18"/>
                <w:szCs w:val="18"/>
              </w:rPr>
              <w:t>.</w:t>
            </w:r>
          </w:p>
          <w:p w14:paraId="7C447D5F" w14:textId="77777777" w:rsidR="00A8325C" w:rsidRPr="005F5A72" w:rsidRDefault="00A8325C" w:rsidP="004427F9">
            <w:pPr>
              <w:pStyle w:val="ListParagraph"/>
              <w:ind w:left="354" w:hanging="284"/>
              <w:cnfStyle w:val="000000100000" w:firstRow="0" w:lastRow="0" w:firstColumn="0" w:lastColumn="0" w:oddVBand="0" w:evenVBand="0" w:oddHBand="1" w:evenHBand="0" w:firstRowFirstColumn="0" w:firstRowLastColumn="0" w:lastRowFirstColumn="0" w:lastRowLastColumn="0"/>
              <w:rPr>
                <w:sz w:val="18"/>
                <w:szCs w:val="18"/>
              </w:rPr>
            </w:pPr>
          </w:p>
          <w:p w14:paraId="6AC2C65B" w14:textId="1AC1C16F" w:rsidR="00A8325C" w:rsidRPr="005F5A72" w:rsidRDefault="000A465E" w:rsidP="000A465E">
            <w:pPr>
              <w:pStyle w:val="ListParagraph"/>
              <w:widowControl/>
              <w:numPr>
                <w:ilvl w:val="0"/>
                <w:numId w:val="16"/>
              </w:numPr>
              <w:ind w:left="354" w:hanging="284"/>
              <w:contextualSpacing w:val="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w:t>
            </w:r>
            <w:r w:rsidRPr="000A465E">
              <w:rPr>
                <w:sz w:val="18"/>
                <w:szCs w:val="18"/>
              </w:rPr>
              <w:t xml:space="preserve">ollowing the consideration of a request for an extension to the consultation period for A1193, the </w:t>
            </w:r>
            <w:r>
              <w:rPr>
                <w:sz w:val="18"/>
                <w:szCs w:val="18"/>
              </w:rPr>
              <w:t>C</w:t>
            </w:r>
            <w:r w:rsidRPr="000A465E">
              <w:rPr>
                <w:sz w:val="18"/>
                <w:szCs w:val="18"/>
              </w:rPr>
              <w:t xml:space="preserve">all for </w:t>
            </w:r>
            <w:r>
              <w:rPr>
                <w:sz w:val="18"/>
                <w:szCs w:val="18"/>
              </w:rPr>
              <w:t>S</w:t>
            </w:r>
            <w:r w:rsidRPr="000A465E">
              <w:rPr>
                <w:sz w:val="18"/>
                <w:szCs w:val="18"/>
              </w:rPr>
              <w:t>ubmissions was extended by two weeks from 11 December 2020 to 24 December 2020. The extension was publically notified on 11 December 2020.</w:t>
            </w:r>
          </w:p>
        </w:tc>
      </w:tr>
      <w:tr w:rsidR="00F6228C" w:rsidRPr="00DB1359" w14:paraId="3B47E3A7" w14:textId="77777777" w:rsidTr="008C7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Borders>
              <w:right w:val="single" w:sz="4" w:space="0" w:color="auto"/>
            </w:tcBorders>
          </w:tcPr>
          <w:p w14:paraId="3D1516EC" w14:textId="21631EE8" w:rsidR="003A3ECA" w:rsidRPr="0045355A" w:rsidRDefault="00614E7D" w:rsidP="00614E7D">
            <w:pPr>
              <w:pStyle w:val="Table2"/>
              <w:ind w:left="0" w:firstLine="0"/>
              <w:jc w:val="center"/>
              <w:rPr>
                <w:b w:val="0"/>
              </w:rPr>
            </w:pPr>
            <w:r>
              <w:rPr>
                <w:b w:val="0"/>
              </w:rPr>
              <w:t>35</w:t>
            </w:r>
          </w:p>
        </w:tc>
        <w:tc>
          <w:tcPr>
            <w:tcW w:w="4653" w:type="dxa"/>
            <w:tcBorders>
              <w:right w:val="single" w:sz="4" w:space="0" w:color="auto"/>
            </w:tcBorders>
          </w:tcPr>
          <w:p w14:paraId="6D1D3A4B" w14:textId="77777777" w:rsidR="003A3ECA" w:rsidRDefault="003A3ECA" w:rsidP="003A3ECA">
            <w:pPr>
              <w:pStyle w:val="Table2"/>
              <w:ind w:left="0" w:firstLine="0"/>
              <w:cnfStyle w:val="000000010000" w:firstRow="0" w:lastRow="0" w:firstColumn="0" w:lastColumn="0" w:oddVBand="0" w:evenVBand="0" w:oddHBand="0" w:evenHBand="1" w:firstRowFirstColumn="0" w:firstRowLastColumn="0" w:lastRowFirstColumn="0" w:lastRowLastColumn="0"/>
            </w:pPr>
            <w:r>
              <w:t xml:space="preserve">Submitters expressed concern about the timing and expeditious nature of this application, with submitters questioning why it was </w:t>
            </w:r>
            <w:r>
              <w:lastRenderedPageBreak/>
              <w:t xml:space="preserve">being “rushed through”. </w:t>
            </w:r>
          </w:p>
          <w:p w14:paraId="155231EE" w14:textId="77777777" w:rsidR="003A3ECA" w:rsidRDefault="003A3ECA" w:rsidP="003A3ECA">
            <w:pPr>
              <w:pStyle w:val="Table2"/>
              <w:cnfStyle w:val="000000010000" w:firstRow="0" w:lastRow="0" w:firstColumn="0" w:lastColumn="0" w:oddVBand="0" w:evenVBand="0" w:oddHBand="0" w:evenHBand="1" w:firstRowFirstColumn="0" w:firstRowLastColumn="0" w:lastRowFirstColumn="0" w:lastRowLastColumn="0"/>
            </w:pPr>
          </w:p>
          <w:p w14:paraId="258DBC1E" w14:textId="05193183" w:rsidR="003A3ECA" w:rsidRPr="00B97010" w:rsidRDefault="003A3ECA" w:rsidP="003A3ECA">
            <w:pPr>
              <w:pStyle w:val="Table2"/>
              <w:ind w:left="0" w:firstLine="0"/>
              <w:cnfStyle w:val="000000010000" w:firstRow="0" w:lastRow="0" w:firstColumn="0" w:lastColumn="0" w:oddVBand="0" w:evenVBand="0" w:oddHBand="0" w:evenHBand="1" w:firstRowFirstColumn="0" w:firstRowLastColumn="0" w:lastRowFirstColumn="0" w:lastRowLastColumn="0"/>
            </w:pPr>
            <w:r>
              <w:t>Submitters suggested that the consultation period was deliberately set to coincide with the pre-Christmas rush so as to minimise public awareness</w:t>
            </w:r>
            <w:r w:rsidR="00986188">
              <w:t xml:space="preserve"> and the number of submissions.</w:t>
            </w:r>
          </w:p>
        </w:tc>
        <w:tc>
          <w:tcPr>
            <w:tcW w:w="2096" w:type="dxa"/>
            <w:tcBorders>
              <w:left w:val="single" w:sz="4" w:space="0" w:color="auto"/>
              <w:right w:val="single" w:sz="4" w:space="0" w:color="auto"/>
            </w:tcBorders>
          </w:tcPr>
          <w:p w14:paraId="49769AD9" w14:textId="77777777" w:rsidR="003A3ECA" w:rsidRDefault="003A3ECA" w:rsidP="003A3ECA">
            <w:pPr>
              <w:pStyle w:val="Table2"/>
              <w:cnfStyle w:val="000000010000" w:firstRow="0" w:lastRow="0" w:firstColumn="0" w:lastColumn="0" w:oddVBand="0" w:evenVBand="0" w:oddHBand="0" w:evenHBand="1" w:firstRowFirstColumn="0" w:firstRowLastColumn="0" w:lastRowFirstColumn="0" w:lastRowLastColumn="0"/>
            </w:pPr>
            <w:r>
              <w:lastRenderedPageBreak/>
              <w:t xml:space="preserve">Health practitioners </w:t>
            </w:r>
          </w:p>
          <w:p w14:paraId="661F4967" w14:textId="77777777" w:rsidR="003A3ECA" w:rsidRDefault="003A3ECA" w:rsidP="003A3ECA">
            <w:pPr>
              <w:pStyle w:val="Table2"/>
              <w:ind w:left="0" w:firstLine="0"/>
              <w:cnfStyle w:val="000000010000" w:firstRow="0" w:lastRow="0" w:firstColumn="0" w:lastColumn="0" w:oddVBand="0" w:evenVBand="0" w:oddHBand="0" w:evenHBand="1" w:firstRowFirstColumn="0" w:firstRowLastColumn="0" w:lastRowFirstColumn="0" w:lastRowLastColumn="0"/>
            </w:pPr>
          </w:p>
          <w:p w14:paraId="594FD4B3" w14:textId="77777777" w:rsidR="003A3ECA" w:rsidRDefault="003A3ECA" w:rsidP="003A3ECA">
            <w:pPr>
              <w:pStyle w:val="Table2"/>
              <w:cnfStyle w:val="000000010000" w:firstRow="0" w:lastRow="0" w:firstColumn="0" w:lastColumn="0" w:oddVBand="0" w:evenVBand="0" w:oddHBand="0" w:evenHBand="1" w:firstRowFirstColumn="0" w:firstRowLastColumn="0" w:lastRowFirstColumn="0" w:lastRowLastColumn="0"/>
            </w:pPr>
            <w:r>
              <w:lastRenderedPageBreak/>
              <w:t xml:space="preserve">Consumers SA </w:t>
            </w:r>
          </w:p>
          <w:p w14:paraId="669FC086" w14:textId="77777777" w:rsidR="003A3ECA" w:rsidRDefault="003A3ECA" w:rsidP="003A3ECA">
            <w:pPr>
              <w:pStyle w:val="Table2"/>
              <w:cnfStyle w:val="000000010000" w:firstRow="0" w:lastRow="0" w:firstColumn="0" w:lastColumn="0" w:oddVBand="0" w:evenVBand="0" w:oddHBand="0" w:evenHBand="1" w:firstRowFirstColumn="0" w:firstRowLastColumn="0" w:lastRowFirstColumn="0" w:lastRowLastColumn="0"/>
            </w:pPr>
          </w:p>
          <w:p w14:paraId="19A9CB4B" w14:textId="77777777" w:rsidR="003A3ECA" w:rsidRDefault="003A3ECA" w:rsidP="003A3ECA">
            <w:pPr>
              <w:pStyle w:val="Table2"/>
              <w:cnfStyle w:val="000000010000" w:firstRow="0" w:lastRow="0" w:firstColumn="0" w:lastColumn="0" w:oddVBand="0" w:evenVBand="0" w:oddHBand="0" w:evenHBand="1" w:firstRowFirstColumn="0" w:firstRowLastColumn="0" w:lastRowFirstColumn="0" w:lastRowLastColumn="0"/>
            </w:pPr>
            <w:r>
              <w:t>Private individuals</w:t>
            </w:r>
          </w:p>
          <w:p w14:paraId="21E8C454" w14:textId="77777777" w:rsidR="003A3ECA" w:rsidRDefault="003A3ECA" w:rsidP="003A3ECA">
            <w:pPr>
              <w:pStyle w:val="Table2"/>
              <w:cnfStyle w:val="000000010000" w:firstRow="0" w:lastRow="0" w:firstColumn="0" w:lastColumn="0" w:oddVBand="0" w:evenVBand="0" w:oddHBand="0" w:evenHBand="1" w:firstRowFirstColumn="0" w:firstRowLastColumn="0" w:lastRowFirstColumn="0" w:lastRowLastColumn="0"/>
            </w:pPr>
          </w:p>
          <w:p w14:paraId="79C09A50" w14:textId="77777777" w:rsidR="003A3ECA" w:rsidRDefault="003A3ECA" w:rsidP="003A3ECA">
            <w:pPr>
              <w:pStyle w:val="Table2"/>
              <w:ind w:left="0" w:firstLine="0"/>
              <w:cnfStyle w:val="000000010000" w:firstRow="0" w:lastRow="0" w:firstColumn="0" w:lastColumn="0" w:oddVBand="0" w:evenVBand="0" w:oddHBand="0" w:evenHBand="1" w:firstRowFirstColumn="0" w:firstRowLastColumn="0" w:lastRowFirstColumn="0" w:lastRowLastColumn="0"/>
            </w:pPr>
          </w:p>
        </w:tc>
        <w:tc>
          <w:tcPr>
            <w:tcW w:w="6428" w:type="dxa"/>
            <w:tcBorders>
              <w:left w:val="single" w:sz="4" w:space="0" w:color="auto"/>
            </w:tcBorders>
          </w:tcPr>
          <w:p w14:paraId="158A9B4B" w14:textId="2B8195B3" w:rsidR="006B0237" w:rsidRDefault="006B0237" w:rsidP="003A3ECA">
            <w:pPr>
              <w:pStyle w:val="Table2"/>
              <w:ind w:left="77" w:firstLine="0"/>
              <w:cnfStyle w:val="000000010000" w:firstRow="0" w:lastRow="0" w:firstColumn="0" w:lastColumn="0" w:oddVBand="0" w:evenVBand="0" w:oddHBand="0" w:evenHBand="1" w:firstRowFirstColumn="0" w:firstRowLastColumn="0" w:lastRowFirstColumn="0" w:lastRowLastColumn="0"/>
            </w:pPr>
            <w:r>
              <w:lastRenderedPageBreak/>
              <w:t xml:space="preserve">The application was not </w:t>
            </w:r>
            <w:r w:rsidR="00973B30">
              <w:t>“</w:t>
            </w:r>
            <w:r>
              <w:t>rushed through</w:t>
            </w:r>
            <w:r w:rsidR="00973B30">
              <w:t>”</w:t>
            </w:r>
            <w:r>
              <w:t>.</w:t>
            </w:r>
            <w:r w:rsidR="00CE36CB">
              <w:t xml:space="preserve"> </w:t>
            </w:r>
          </w:p>
          <w:p w14:paraId="142B313F" w14:textId="1680B6B4" w:rsidR="00CE36CB" w:rsidRDefault="00CE36CB" w:rsidP="003A3ECA">
            <w:pPr>
              <w:pStyle w:val="Table2"/>
              <w:ind w:left="77" w:firstLine="0"/>
              <w:cnfStyle w:val="000000010000" w:firstRow="0" w:lastRow="0" w:firstColumn="0" w:lastColumn="0" w:oddVBand="0" w:evenVBand="0" w:oddHBand="0" w:evenHBand="1" w:firstRowFirstColumn="0" w:firstRowLastColumn="0" w:lastRowFirstColumn="0" w:lastRowLastColumn="0"/>
            </w:pPr>
          </w:p>
          <w:p w14:paraId="62EDD4FB" w14:textId="735A917F" w:rsidR="00CE36CB" w:rsidRDefault="00CE36CB" w:rsidP="003A3ECA">
            <w:pPr>
              <w:pStyle w:val="Table2"/>
              <w:ind w:left="77" w:firstLine="0"/>
              <w:cnfStyle w:val="000000010000" w:firstRow="0" w:lastRow="0" w:firstColumn="0" w:lastColumn="0" w:oddVBand="0" w:evenVBand="0" w:oddHBand="0" w:evenHBand="1" w:firstRowFirstColumn="0" w:firstRowLastColumn="0" w:lastRowFirstColumn="0" w:lastRowLastColumn="0"/>
            </w:pPr>
            <w:r>
              <w:lastRenderedPageBreak/>
              <w:t xml:space="preserve">The Call for Submissions was issued and publically notified on 30 October 2020 – eight weeks before Christmas, and any </w:t>
            </w:r>
            <w:r w:rsidR="00814125">
              <w:t>“</w:t>
            </w:r>
            <w:r>
              <w:t>pre-Christmas rush</w:t>
            </w:r>
            <w:r w:rsidR="00814125">
              <w:t>”</w:t>
            </w:r>
            <w:r>
              <w:t>.</w:t>
            </w:r>
          </w:p>
          <w:p w14:paraId="298B9748" w14:textId="77777777" w:rsidR="006B0237" w:rsidRDefault="006B0237" w:rsidP="003A3ECA">
            <w:pPr>
              <w:pStyle w:val="Table2"/>
              <w:ind w:left="77" w:firstLine="0"/>
              <w:cnfStyle w:val="000000010000" w:firstRow="0" w:lastRow="0" w:firstColumn="0" w:lastColumn="0" w:oddVBand="0" w:evenVBand="0" w:oddHBand="0" w:evenHBand="1" w:firstRowFirstColumn="0" w:firstRowLastColumn="0" w:lastRowFirstColumn="0" w:lastRowLastColumn="0"/>
            </w:pPr>
          </w:p>
          <w:p w14:paraId="6CECDA0F" w14:textId="2E382344" w:rsidR="003A3ECA" w:rsidRDefault="00CA463B" w:rsidP="003A3ECA">
            <w:pPr>
              <w:pStyle w:val="Table2"/>
              <w:ind w:left="77" w:firstLine="0"/>
              <w:cnfStyle w:val="000000010000" w:firstRow="0" w:lastRow="0" w:firstColumn="0" w:lastColumn="0" w:oddVBand="0" w:evenVBand="0" w:oddHBand="0" w:evenHBand="1" w:firstRowFirstColumn="0" w:firstRowLastColumn="0" w:lastRowFirstColumn="0" w:lastRowLastColumn="0"/>
            </w:pPr>
            <w:r>
              <w:t>In terms of public awareness, the</w:t>
            </w:r>
            <w:r w:rsidR="00157B8E">
              <w:t xml:space="preserve"> Call for Submission</w:t>
            </w:r>
            <w:r w:rsidR="008A4A61">
              <w:t>s</w:t>
            </w:r>
            <w:r w:rsidR="00157B8E">
              <w:t xml:space="preserve"> was the subject of extensive public notification.</w:t>
            </w:r>
            <w:r>
              <w:t xml:space="preserve"> See FSANZ’s response to</w:t>
            </w:r>
            <w:r w:rsidR="00814125">
              <w:t xml:space="preserve"> no.</w:t>
            </w:r>
            <w:r>
              <w:t xml:space="preserve"> 34 above</w:t>
            </w:r>
            <w:r w:rsidR="006120CE">
              <w:t>.</w:t>
            </w:r>
            <w:r w:rsidR="00157B8E">
              <w:br/>
            </w:r>
            <w:r w:rsidR="00157B8E">
              <w:br/>
            </w:r>
            <w:r w:rsidR="006B0237">
              <w:t xml:space="preserve">The application was assessed in accordance with the FSANZ Act. It requires FSANZ to assess each accepted application in accordance with that Act and within the timeframes set by that Act. The Act also provides that, where an applicant chooses to pay the </w:t>
            </w:r>
            <w:r w:rsidR="00CE36CB">
              <w:t>prescribed</w:t>
            </w:r>
            <w:r w:rsidR="006B0237">
              <w:t xml:space="preserve"> application fee, assessment of the application must commence on the day that fee is received by FSANZ. This was the case with Application A1193.</w:t>
            </w:r>
            <w:r w:rsidR="00CE36CB">
              <w:t xml:space="preserve"> FSANZ did not have a discretion to defer or delay that assessment.</w:t>
            </w:r>
          </w:p>
          <w:p w14:paraId="557659F9" w14:textId="77777777" w:rsidR="003A3ECA" w:rsidRDefault="003A3ECA" w:rsidP="003A3ECA">
            <w:pPr>
              <w:pStyle w:val="Table2"/>
              <w:ind w:left="77" w:firstLine="0"/>
              <w:cnfStyle w:val="000000010000" w:firstRow="0" w:lastRow="0" w:firstColumn="0" w:lastColumn="0" w:oddVBand="0" w:evenVBand="0" w:oddHBand="0" w:evenHBand="1" w:firstRowFirstColumn="0" w:firstRowLastColumn="0" w:lastRowFirstColumn="0" w:lastRowLastColumn="0"/>
            </w:pPr>
          </w:p>
          <w:p w14:paraId="4662118B" w14:textId="1DB43A0C" w:rsidR="003A3ECA" w:rsidRDefault="003A3ECA" w:rsidP="00814125">
            <w:pPr>
              <w:pStyle w:val="Table2"/>
              <w:ind w:left="77" w:firstLine="0"/>
              <w:cnfStyle w:val="000000010000" w:firstRow="0" w:lastRow="0" w:firstColumn="0" w:lastColumn="0" w:oddVBand="0" w:evenVBand="0" w:oddHBand="0" w:evenHBand="1" w:firstRowFirstColumn="0" w:firstRowLastColumn="0" w:lastRowFirstColumn="0" w:lastRowLastColumn="0"/>
            </w:pPr>
            <w:r>
              <w:t xml:space="preserve">The timeframe </w:t>
            </w:r>
            <w:r w:rsidR="00CA463B">
              <w:t xml:space="preserve">set by the Act </w:t>
            </w:r>
            <w:r>
              <w:t xml:space="preserve">for </w:t>
            </w:r>
            <w:r w:rsidR="00814125">
              <w:t>Application</w:t>
            </w:r>
            <w:r w:rsidR="00CE36CB">
              <w:t xml:space="preserve"> A1193 </w:t>
            </w:r>
            <w:r>
              <w:t>(</w:t>
            </w:r>
            <w:r w:rsidR="00CE36CB">
              <w:t xml:space="preserve">via </w:t>
            </w:r>
            <w:r>
              <w:t xml:space="preserve">General Procedure Level 5) </w:t>
            </w:r>
            <w:r w:rsidR="000626F1">
              <w:t>was</w:t>
            </w:r>
            <w:r>
              <w:t xml:space="preserve"> 9 months</w:t>
            </w:r>
            <w:r w:rsidR="00CA463B">
              <w:t xml:space="preserve">. This </w:t>
            </w:r>
            <w:r w:rsidR="000626F1">
              <w:t xml:space="preserve">included </w:t>
            </w:r>
            <w:r>
              <w:t xml:space="preserve">a number of </w:t>
            </w:r>
            <w:r w:rsidR="00CA463B">
              <w:t xml:space="preserve">statutory </w:t>
            </w:r>
            <w:r>
              <w:t>major milestones, as set out in the publically available FSANZ Work Plan. To complete</w:t>
            </w:r>
            <w:r w:rsidR="001018C0">
              <w:t xml:space="preserve"> the</w:t>
            </w:r>
            <w:r>
              <w:t xml:space="preserve"> assessment of this application within </w:t>
            </w:r>
            <w:r w:rsidR="00CA463B">
              <w:t>this required</w:t>
            </w:r>
            <w:r>
              <w:t xml:space="preserve"> timeframe, a</w:t>
            </w:r>
            <w:r w:rsidR="00157B8E">
              <w:t>n</w:t>
            </w:r>
            <w:r>
              <w:t xml:space="preserve"> </w:t>
            </w:r>
            <w:r w:rsidR="006B0237">
              <w:t xml:space="preserve">eight </w:t>
            </w:r>
            <w:r>
              <w:t>week public comment period</w:t>
            </w:r>
            <w:r w:rsidR="006B0237">
              <w:t xml:space="preserve"> was provided. A</w:t>
            </w:r>
            <w:r w:rsidR="00CE36CB">
              <w:t xml:space="preserve"> </w:t>
            </w:r>
            <w:r w:rsidR="006B0237">
              <w:t xml:space="preserve">period of </w:t>
            </w:r>
            <w:r w:rsidR="00CE36CB">
              <w:t>six</w:t>
            </w:r>
            <w:r w:rsidR="006B0237">
              <w:t xml:space="preserve"> weeks is</w:t>
            </w:r>
            <w:r>
              <w:t xml:space="preserve"> typical for most applications</w:t>
            </w:r>
            <w:r w:rsidR="00AA11B4">
              <w:t>.</w:t>
            </w:r>
            <w:r w:rsidR="006B0237">
              <w:t xml:space="preserve"> See </w:t>
            </w:r>
            <w:r w:rsidR="00CE36CB">
              <w:t xml:space="preserve">also FSANZ’s response </w:t>
            </w:r>
            <w:r w:rsidR="006B0237">
              <w:t xml:space="preserve">to </w:t>
            </w:r>
            <w:r w:rsidR="00814125">
              <w:t xml:space="preserve">no. </w:t>
            </w:r>
            <w:r w:rsidR="006B0237">
              <w:t>34 above.</w:t>
            </w:r>
          </w:p>
        </w:tc>
      </w:tr>
      <w:tr w:rsidR="00F6228C" w:rsidRPr="00DB1359" w14:paraId="3730112C" w14:textId="77777777" w:rsidTr="008C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Borders>
              <w:right w:val="single" w:sz="4" w:space="0" w:color="auto"/>
            </w:tcBorders>
          </w:tcPr>
          <w:p w14:paraId="42AC64E2" w14:textId="1E694303" w:rsidR="003A3ECA" w:rsidRDefault="00614E7D" w:rsidP="00614E7D">
            <w:pPr>
              <w:pStyle w:val="Table2"/>
              <w:ind w:left="0" w:firstLine="0"/>
              <w:jc w:val="center"/>
              <w:rPr>
                <w:b w:val="0"/>
              </w:rPr>
            </w:pPr>
            <w:r>
              <w:rPr>
                <w:b w:val="0"/>
              </w:rPr>
              <w:lastRenderedPageBreak/>
              <w:t>36</w:t>
            </w:r>
          </w:p>
        </w:tc>
        <w:tc>
          <w:tcPr>
            <w:tcW w:w="4653" w:type="dxa"/>
            <w:tcBorders>
              <w:right w:val="single" w:sz="4" w:space="0" w:color="auto"/>
            </w:tcBorders>
          </w:tcPr>
          <w:p w14:paraId="6AA71874" w14:textId="15B292E8" w:rsidR="003A3ECA" w:rsidRDefault="003A3ECA" w:rsidP="003A3ECA">
            <w:pPr>
              <w:pStyle w:val="Table2"/>
              <w:ind w:left="0" w:firstLine="0"/>
              <w:cnfStyle w:val="000000100000" w:firstRow="0" w:lastRow="0" w:firstColumn="0" w:lastColumn="0" w:oddVBand="0" w:evenVBand="0" w:oddHBand="1" w:evenHBand="0" w:firstRowFirstColumn="0" w:firstRowLastColumn="0" w:lastRowFirstColumn="0" w:lastRowLastColumn="0"/>
            </w:pPr>
            <w:r w:rsidRPr="001D3A09">
              <w:t>Submitters made a range of general comments regarding a lack of scientific rigour</w:t>
            </w:r>
            <w:r>
              <w:t xml:space="preserve"> in FSANZ’s assessment</w:t>
            </w:r>
            <w:r w:rsidRPr="001D3A09">
              <w:t xml:space="preserve">, the quality and amount of scientific evidence, </w:t>
            </w:r>
            <w:r>
              <w:t xml:space="preserve">bias, </w:t>
            </w:r>
            <w:r w:rsidRPr="001D3A09">
              <w:t>and FSANZ’s scientific credibility</w:t>
            </w:r>
            <w:r>
              <w:t>.</w:t>
            </w:r>
          </w:p>
        </w:tc>
        <w:tc>
          <w:tcPr>
            <w:tcW w:w="2096" w:type="dxa"/>
            <w:tcBorders>
              <w:left w:val="single" w:sz="4" w:space="0" w:color="auto"/>
              <w:right w:val="single" w:sz="4" w:space="0" w:color="auto"/>
            </w:tcBorders>
          </w:tcPr>
          <w:p w14:paraId="7EBA8E91" w14:textId="77777777" w:rsidR="003A3ECA" w:rsidRDefault="003A3ECA" w:rsidP="003A3ECA">
            <w:pPr>
              <w:pStyle w:val="Table2"/>
              <w:ind w:left="0" w:firstLine="0"/>
              <w:cnfStyle w:val="000000100000" w:firstRow="0" w:lastRow="0" w:firstColumn="0" w:lastColumn="0" w:oddVBand="0" w:evenVBand="0" w:oddHBand="1" w:evenHBand="0" w:firstRowFirstColumn="0" w:firstRowLastColumn="0" w:lastRowFirstColumn="0" w:lastRowLastColumn="0"/>
            </w:pPr>
            <w:r>
              <w:t>Food Irradiation Watch/Gene Ethics</w:t>
            </w:r>
          </w:p>
          <w:p w14:paraId="55FC4B08" w14:textId="77777777" w:rsidR="003A3ECA" w:rsidRDefault="003A3ECA" w:rsidP="003A3ECA">
            <w:pPr>
              <w:pStyle w:val="Table2"/>
              <w:cnfStyle w:val="000000100000" w:firstRow="0" w:lastRow="0" w:firstColumn="0" w:lastColumn="0" w:oddVBand="0" w:evenVBand="0" w:oddHBand="1" w:evenHBand="0" w:firstRowFirstColumn="0" w:firstRowLastColumn="0" w:lastRowFirstColumn="0" w:lastRowLastColumn="0"/>
            </w:pPr>
          </w:p>
          <w:p w14:paraId="4AD76392" w14:textId="77777777" w:rsidR="003A3ECA" w:rsidRDefault="003A3ECA" w:rsidP="003A3ECA">
            <w:pPr>
              <w:pStyle w:val="Table2"/>
              <w:cnfStyle w:val="000000100000" w:firstRow="0" w:lastRow="0" w:firstColumn="0" w:lastColumn="0" w:oddVBand="0" w:evenVBand="0" w:oddHBand="1" w:evenHBand="0" w:firstRowFirstColumn="0" w:firstRowLastColumn="0" w:lastRowFirstColumn="0" w:lastRowLastColumn="0"/>
            </w:pPr>
            <w:r>
              <w:t>Wiser Equity Pty Ltd</w:t>
            </w:r>
          </w:p>
          <w:p w14:paraId="4413C6EF" w14:textId="77777777" w:rsidR="003A3ECA" w:rsidRDefault="003A3ECA" w:rsidP="003A3ECA">
            <w:pPr>
              <w:pStyle w:val="Table2"/>
              <w:cnfStyle w:val="000000100000" w:firstRow="0" w:lastRow="0" w:firstColumn="0" w:lastColumn="0" w:oddVBand="0" w:evenVBand="0" w:oddHBand="1" w:evenHBand="0" w:firstRowFirstColumn="0" w:firstRowLastColumn="0" w:lastRowFirstColumn="0" w:lastRowLastColumn="0"/>
            </w:pPr>
          </w:p>
          <w:p w14:paraId="2761F8A1" w14:textId="45C39212" w:rsidR="003A3ECA" w:rsidRDefault="003A3ECA" w:rsidP="003A3ECA">
            <w:pPr>
              <w:pStyle w:val="Table2"/>
              <w:cnfStyle w:val="000000100000" w:firstRow="0" w:lastRow="0" w:firstColumn="0" w:lastColumn="0" w:oddVBand="0" w:evenVBand="0" w:oddHBand="1" w:evenHBand="0" w:firstRowFirstColumn="0" w:firstRowLastColumn="0" w:lastRowFirstColumn="0" w:lastRowLastColumn="0"/>
            </w:pPr>
            <w:r>
              <w:t>Private individuals</w:t>
            </w:r>
          </w:p>
        </w:tc>
        <w:tc>
          <w:tcPr>
            <w:tcW w:w="6428" w:type="dxa"/>
            <w:tcBorders>
              <w:left w:val="single" w:sz="4" w:space="0" w:color="auto"/>
            </w:tcBorders>
          </w:tcPr>
          <w:p w14:paraId="54BE85F9" w14:textId="6419EFCB" w:rsidR="003A3ECA" w:rsidRDefault="003A3ECA" w:rsidP="003A3ECA">
            <w:pPr>
              <w:pStyle w:val="Table2"/>
              <w:ind w:left="77" w:firstLine="0"/>
              <w:cnfStyle w:val="000000100000" w:firstRow="0" w:lastRow="0" w:firstColumn="0" w:lastColumn="0" w:oddVBand="0" w:evenVBand="0" w:oddHBand="1" w:evenHBand="0" w:firstRowFirstColumn="0" w:firstRowLastColumn="0" w:lastRowFirstColumn="0" w:lastRowLastColumn="0"/>
            </w:pPr>
            <w:r>
              <w:t xml:space="preserve">FSANZ undertakes risk assessments in accordance with the most up-to-date international risk assessment procedures and using the available scientific evidence. </w:t>
            </w:r>
          </w:p>
          <w:p w14:paraId="2C267527" w14:textId="77777777" w:rsidR="003A3ECA" w:rsidRDefault="003A3ECA" w:rsidP="003A3ECA">
            <w:pPr>
              <w:pStyle w:val="Table2"/>
              <w:ind w:left="77" w:firstLine="0"/>
              <w:cnfStyle w:val="000000100000" w:firstRow="0" w:lastRow="0" w:firstColumn="0" w:lastColumn="0" w:oddVBand="0" w:evenVBand="0" w:oddHBand="1" w:evenHBand="0" w:firstRowFirstColumn="0" w:firstRowLastColumn="0" w:lastRowFirstColumn="0" w:lastRowLastColumn="0"/>
            </w:pPr>
          </w:p>
          <w:p w14:paraId="5A692EE2" w14:textId="7AEC03BC" w:rsidR="003A3ECA" w:rsidRDefault="003A3ECA" w:rsidP="003A3ECA">
            <w:pPr>
              <w:pStyle w:val="Table2"/>
              <w:ind w:left="77" w:firstLine="0"/>
              <w:cnfStyle w:val="000000100000" w:firstRow="0" w:lastRow="0" w:firstColumn="0" w:lastColumn="0" w:oddVBand="0" w:evenVBand="0" w:oddHBand="1" w:evenHBand="0" w:firstRowFirstColumn="0" w:firstRowLastColumn="0" w:lastRowFirstColumn="0" w:lastRowLastColumn="0"/>
            </w:pPr>
            <w:r>
              <w:t>FSANZ has previously assessed and characterised the risk from consumption of irradiated fruit and vegetables, as part of its assessment of applications submitted to the agency since 2002 (</w:t>
            </w:r>
            <w:r w:rsidR="00AA11B4">
              <w:t xml:space="preserve">see </w:t>
            </w:r>
            <w:r>
              <w:t>SD1). Collectively, these risk assessments considered all of the relevant information that was available at the time (national and international), including animal toxicity and nutrition data relating to the safety and nutritional adequacy of irradiated foods. In addition, FSANZ undertook a dedicated review on the nutritional</w:t>
            </w:r>
            <w:r w:rsidR="008A235B">
              <w:t xml:space="preserve"> impact of irradiation of fruit</w:t>
            </w:r>
            <w:r>
              <w:t xml:space="preserve"> and vegetables, published as a review in 2014.</w:t>
            </w:r>
          </w:p>
          <w:p w14:paraId="10388C84" w14:textId="77777777" w:rsidR="003A3ECA" w:rsidRDefault="003A3ECA" w:rsidP="003A3ECA">
            <w:pPr>
              <w:pStyle w:val="Table2"/>
              <w:ind w:left="77" w:firstLine="0"/>
              <w:cnfStyle w:val="000000100000" w:firstRow="0" w:lastRow="0" w:firstColumn="0" w:lastColumn="0" w:oddVBand="0" w:evenVBand="0" w:oddHBand="1" w:evenHBand="0" w:firstRowFirstColumn="0" w:firstRowLastColumn="0" w:lastRowFirstColumn="0" w:lastRowLastColumn="0"/>
            </w:pPr>
          </w:p>
          <w:p w14:paraId="748BEDD6" w14:textId="582651DD" w:rsidR="003A3ECA" w:rsidRDefault="003A3ECA" w:rsidP="000626F1">
            <w:pPr>
              <w:pStyle w:val="Table2"/>
              <w:ind w:left="77" w:firstLine="0"/>
              <w:cnfStyle w:val="000000100000" w:firstRow="0" w:lastRow="0" w:firstColumn="0" w:lastColumn="0" w:oddVBand="0" w:evenVBand="0" w:oddHBand="1" w:evenHBand="0" w:firstRowFirstColumn="0" w:firstRowLastColumn="0" w:lastRowFirstColumn="0" w:lastRowLastColumn="0"/>
            </w:pPr>
            <w:r>
              <w:t>For this application, FSANZ conducted a comprehensive review of the scientific literature that has been published subsequent to the earlier risk assessments and the 2014 review of the literature. The weight</w:t>
            </w:r>
            <w:r w:rsidR="000626F1">
              <w:t xml:space="preserve"> of </w:t>
            </w:r>
            <w:r>
              <w:t>evidence indicates that there are no new public health or safety concerns that need to be addressed as part of the current application.</w:t>
            </w:r>
          </w:p>
        </w:tc>
      </w:tr>
      <w:tr w:rsidR="00F6228C" w:rsidRPr="00DB1359" w14:paraId="4D58F79A" w14:textId="77777777" w:rsidTr="008C7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Borders>
              <w:right w:val="single" w:sz="4" w:space="0" w:color="auto"/>
            </w:tcBorders>
          </w:tcPr>
          <w:p w14:paraId="31BAA4DD" w14:textId="1D12EB26" w:rsidR="003A3ECA" w:rsidRDefault="00614E7D" w:rsidP="00614E7D">
            <w:pPr>
              <w:pStyle w:val="Table2"/>
              <w:ind w:left="0" w:firstLine="0"/>
              <w:jc w:val="center"/>
              <w:rPr>
                <w:b w:val="0"/>
              </w:rPr>
            </w:pPr>
            <w:r>
              <w:rPr>
                <w:b w:val="0"/>
              </w:rPr>
              <w:t>37</w:t>
            </w:r>
          </w:p>
        </w:tc>
        <w:tc>
          <w:tcPr>
            <w:tcW w:w="4653" w:type="dxa"/>
            <w:tcBorders>
              <w:right w:val="single" w:sz="4" w:space="0" w:color="auto"/>
            </w:tcBorders>
          </w:tcPr>
          <w:p w14:paraId="60538FCB" w14:textId="741FB2FA" w:rsidR="00DA1D7D" w:rsidRDefault="003A3ECA" w:rsidP="003A3ECA">
            <w:pPr>
              <w:pStyle w:val="Table2"/>
              <w:ind w:left="0" w:firstLine="0"/>
              <w:cnfStyle w:val="000000010000" w:firstRow="0" w:lastRow="0" w:firstColumn="0" w:lastColumn="0" w:oddVBand="0" w:evenVBand="0" w:oddHBand="0" w:evenHBand="1" w:firstRowFirstColumn="0" w:firstRowLastColumn="0" w:lastRowFirstColumn="0" w:lastRowLastColumn="0"/>
            </w:pPr>
            <w:r w:rsidRPr="00272A7D">
              <w:t>There is concern at the use of Schedule 22, noting its main application within the Code relates to Australia-only maximum residue limits (MRLs). These ‘multipurpose’ provisions should be stand-alone to avoid confusion and improve transparency of application.</w:t>
            </w:r>
          </w:p>
          <w:p w14:paraId="11ACE346" w14:textId="77777777" w:rsidR="003A3ECA" w:rsidRPr="00DA1D7D" w:rsidRDefault="003A3ECA" w:rsidP="007269F2">
            <w:pPr>
              <w:cnfStyle w:val="000000010000" w:firstRow="0" w:lastRow="0" w:firstColumn="0" w:lastColumn="0" w:oddVBand="0" w:evenVBand="0" w:oddHBand="0" w:evenHBand="1" w:firstRowFirstColumn="0" w:firstRowLastColumn="0" w:lastRowFirstColumn="0" w:lastRowLastColumn="0"/>
            </w:pPr>
          </w:p>
        </w:tc>
        <w:tc>
          <w:tcPr>
            <w:tcW w:w="2096" w:type="dxa"/>
            <w:tcBorders>
              <w:left w:val="single" w:sz="4" w:space="0" w:color="auto"/>
              <w:right w:val="single" w:sz="4" w:space="0" w:color="auto"/>
            </w:tcBorders>
          </w:tcPr>
          <w:p w14:paraId="00C052F7" w14:textId="46BBC732" w:rsidR="003A3ECA" w:rsidRDefault="003A3ECA" w:rsidP="003A3ECA">
            <w:pPr>
              <w:pStyle w:val="Table2"/>
              <w:ind w:left="0" w:firstLine="0"/>
              <w:cnfStyle w:val="000000010000" w:firstRow="0" w:lastRow="0" w:firstColumn="0" w:lastColumn="0" w:oddVBand="0" w:evenVBand="0" w:oddHBand="0" w:evenHBand="1" w:firstRowFirstColumn="0" w:firstRowLastColumn="0" w:lastRowFirstColumn="0" w:lastRowLastColumn="0"/>
            </w:pPr>
            <w:r>
              <w:t>New Zealand Food and Grocery Council</w:t>
            </w:r>
            <w:r w:rsidR="007B4B2B">
              <w:t xml:space="preserve"> (NZFGC)</w:t>
            </w:r>
          </w:p>
        </w:tc>
        <w:tc>
          <w:tcPr>
            <w:tcW w:w="6428" w:type="dxa"/>
            <w:tcBorders>
              <w:left w:val="single" w:sz="4" w:space="0" w:color="auto"/>
            </w:tcBorders>
          </w:tcPr>
          <w:p w14:paraId="77118FC1" w14:textId="6BF0B633" w:rsidR="009D3820" w:rsidRDefault="00CA463B" w:rsidP="002E4BD1">
            <w:pPr>
              <w:pStyle w:val="Table2"/>
              <w:ind w:left="77" w:firstLine="0"/>
              <w:cnfStyle w:val="000000010000" w:firstRow="0" w:lastRow="0" w:firstColumn="0" w:lastColumn="0" w:oddVBand="0" w:evenVBand="0" w:oddHBand="0" w:evenHBand="1" w:firstRowFirstColumn="0" w:firstRowLastColumn="0" w:lastRowFirstColumn="0" w:lastRowLastColumn="0"/>
            </w:pPr>
            <w:r>
              <w:t>This issue has been raised by NZFGC and responded to and addressed by FSANZ in previous applications and proposal</w:t>
            </w:r>
            <w:r w:rsidR="001860AC">
              <w:t>s</w:t>
            </w:r>
            <w:r>
              <w:t xml:space="preserve">. See, for example, </w:t>
            </w:r>
            <w:r w:rsidR="009D3820" w:rsidRPr="009D3820">
              <w:t>Application A1163 – Food irradiation definition of herbs and spices.</w:t>
            </w:r>
          </w:p>
          <w:p w14:paraId="18E013BA" w14:textId="78441920" w:rsidR="00CA463B" w:rsidRDefault="00CA463B" w:rsidP="002E4BD1">
            <w:pPr>
              <w:pStyle w:val="Table2"/>
              <w:ind w:left="77" w:firstLine="0"/>
              <w:cnfStyle w:val="000000010000" w:firstRow="0" w:lastRow="0" w:firstColumn="0" w:lastColumn="0" w:oddVBand="0" w:evenVBand="0" w:oddHBand="0" w:evenHBand="1" w:firstRowFirstColumn="0" w:firstRowLastColumn="0" w:lastRowFirstColumn="0" w:lastRowLastColumn="0"/>
            </w:pPr>
            <w:r>
              <w:br/>
              <w:t>NZFGC has not provided, and FSANZ has not located, any evidence that would warrant a change in FSANZ</w:t>
            </w:r>
            <w:r w:rsidR="001860AC">
              <w:t>’s</w:t>
            </w:r>
            <w:r>
              <w:t xml:space="preserve"> stated position on this issue to date.</w:t>
            </w:r>
          </w:p>
          <w:p w14:paraId="4140F627" w14:textId="77777777" w:rsidR="00CA463B" w:rsidRDefault="00CA463B" w:rsidP="002E4BD1">
            <w:pPr>
              <w:pStyle w:val="Table2"/>
              <w:ind w:left="77" w:firstLine="0"/>
              <w:cnfStyle w:val="000000010000" w:firstRow="0" w:lastRow="0" w:firstColumn="0" w:lastColumn="0" w:oddVBand="0" w:evenVBand="0" w:oddHBand="0" w:evenHBand="1" w:firstRowFirstColumn="0" w:firstRowLastColumn="0" w:lastRowFirstColumn="0" w:lastRowLastColumn="0"/>
            </w:pPr>
          </w:p>
          <w:p w14:paraId="772BA029" w14:textId="77777777" w:rsidR="00CA463B" w:rsidRDefault="00CA463B" w:rsidP="002E4BD1">
            <w:pPr>
              <w:pStyle w:val="Table2"/>
              <w:ind w:hanging="72"/>
              <w:cnfStyle w:val="000000010000" w:firstRow="0" w:lastRow="0" w:firstColumn="0" w:lastColumn="0" w:oddVBand="0" w:evenVBand="0" w:oddHBand="0" w:evenHBand="1" w:firstRowFirstColumn="0" w:firstRowLastColumn="0" w:lastRowFirstColumn="0" w:lastRowLastColumn="0"/>
            </w:pPr>
            <w:r>
              <w:t xml:space="preserve">As previously stated: </w:t>
            </w:r>
            <w:r>
              <w:br/>
            </w:r>
          </w:p>
          <w:p w14:paraId="3AB3D985" w14:textId="0417BFCE" w:rsidR="003A3ECA" w:rsidRDefault="003A3ECA" w:rsidP="00E01B62">
            <w:pPr>
              <w:pStyle w:val="Table2"/>
              <w:numPr>
                <w:ilvl w:val="0"/>
                <w:numId w:val="15"/>
              </w:numPr>
              <w:ind w:left="354" w:hanging="284"/>
              <w:cnfStyle w:val="000000010000" w:firstRow="0" w:lastRow="0" w:firstColumn="0" w:lastColumn="0" w:oddVBand="0" w:evenVBand="0" w:oddHBand="0" w:evenHBand="1" w:firstRowFirstColumn="0" w:firstRowLastColumn="0" w:lastRowFirstColumn="0" w:lastRowLastColumn="0"/>
            </w:pPr>
            <w:r>
              <w:t>The fact that a law or a Standard exists for one purpose does not mean that that law or Standard, or a list in one part of it, cannot be referenced and used for and by another law or Standard. This is accepted and normal drafting and legislative practice.</w:t>
            </w:r>
          </w:p>
          <w:p w14:paraId="20AC8901" w14:textId="77777777" w:rsidR="003A3ECA" w:rsidRDefault="003A3ECA" w:rsidP="002E4BD1">
            <w:pPr>
              <w:pStyle w:val="Table2"/>
              <w:ind w:left="354" w:hanging="284"/>
              <w:cnfStyle w:val="000000010000" w:firstRow="0" w:lastRow="0" w:firstColumn="0" w:lastColumn="0" w:oddVBand="0" w:evenVBand="0" w:oddHBand="0" w:evenHBand="1" w:firstRowFirstColumn="0" w:firstRowLastColumn="0" w:lastRowFirstColumn="0" w:lastRowLastColumn="0"/>
            </w:pPr>
          </w:p>
          <w:p w14:paraId="16109BFF" w14:textId="760B8985" w:rsidR="003A3ECA" w:rsidRDefault="003A3ECA" w:rsidP="00E01B62">
            <w:pPr>
              <w:pStyle w:val="Table2"/>
              <w:numPr>
                <w:ilvl w:val="0"/>
                <w:numId w:val="15"/>
              </w:numPr>
              <w:ind w:left="354" w:hanging="284"/>
              <w:cnfStyle w:val="000000010000" w:firstRow="0" w:lastRow="0" w:firstColumn="0" w:lastColumn="0" w:oddVBand="0" w:evenVBand="0" w:oddHBand="0" w:evenHBand="1" w:firstRowFirstColumn="0" w:firstRowLastColumn="0" w:lastRowFirstColumn="0" w:lastRowLastColumn="0"/>
            </w:pPr>
            <w:r>
              <w:t xml:space="preserve">Schedule 22 and its precursor has been referenced by the Irradiation Standard since 2001. The purpose statement in section 1.4.2—2 cannot of itself change that fact or the legal effect of section 1.5.3—3 and the definition in subsection 1.5.3—3(2). </w:t>
            </w:r>
          </w:p>
          <w:p w14:paraId="163D34B2" w14:textId="77777777" w:rsidR="003A3ECA" w:rsidRDefault="003A3ECA" w:rsidP="002E4BD1">
            <w:pPr>
              <w:pStyle w:val="Table2"/>
              <w:ind w:left="354" w:hanging="284"/>
              <w:cnfStyle w:val="000000010000" w:firstRow="0" w:lastRow="0" w:firstColumn="0" w:lastColumn="0" w:oddVBand="0" w:evenVBand="0" w:oddHBand="0" w:evenHBand="1" w:firstRowFirstColumn="0" w:firstRowLastColumn="0" w:lastRowFirstColumn="0" w:lastRowLastColumn="0"/>
            </w:pPr>
          </w:p>
          <w:p w14:paraId="451B46D6" w14:textId="5D24F7C0" w:rsidR="003A3ECA" w:rsidRDefault="003A3ECA" w:rsidP="00E01B62">
            <w:pPr>
              <w:pStyle w:val="Table2"/>
              <w:numPr>
                <w:ilvl w:val="0"/>
                <w:numId w:val="15"/>
              </w:numPr>
              <w:ind w:left="354" w:hanging="284"/>
              <w:cnfStyle w:val="000000010000" w:firstRow="0" w:lastRow="0" w:firstColumn="0" w:lastColumn="0" w:oddVBand="0" w:evenVBand="0" w:oddHBand="0" w:evenHBand="1" w:firstRowFirstColumn="0" w:firstRowLastColumn="0" w:lastRowFirstColumn="0" w:lastRowLastColumn="0"/>
            </w:pPr>
            <w:r>
              <w:t>In any event,</w:t>
            </w:r>
            <w:r w:rsidR="00D54724">
              <w:t xml:space="preserve"> the proposed variation for</w:t>
            </w:r>
            <w:r>
              <w:t xml:space="preserve"> Schedule 22 itself makes clear that a purpose of Schedule 22 is to describe foods and classes of foods for the purposes of subsection 1.5.3—3(2). See Note 1</w:t>
            </w:r>
            <w:r w:rsidR="00D54724">
              <w:t xml:space="preserve"> of Schedule 22</w:t>
            </w:r>
            <w:r>
              <w:t>.</w:t>
            </w:r>
          </w:p>
          <w:p w14:paraId="42796618" w14:textId="77777777" w:rsidR="003A3ECA" w:rsidRDefault="003A3ECA" w:rsidP="002E4BD1">
            <w:pPr>
              <w:pStyle w:val="Table2"/>
              <w:ind w:left="354" w:hanging="284"/>
              <w:cnfStyle w:val="000000010000" w:firstRow="0" w:lastRow="0" w:firstColumn="0" w:lastColumn="0" w:oddVBand="0" w:evenVBand="0" w:oddHBand="0" w:evenHBand="1" w:firstRowFirstColumn="0" w:firstRowLastColumn="0" w:lastRowFirstColumn="0" w:lastRowLastColumn="0"/>
            </w:pPr>
          </w:p>
          <w:p w14:paraId="464E8534" w14:textId="72699BD7" w:rsidR="00553F23" w:rsidRDefault="003A3ECA" w:rsidP="00E01B62">
            <w:pPr>
              <w:pStyle w:val="Table2"/>
              <w:numPr>
                <w:ilvl w:val="0"/>
                <w:numId w:val="15"/>
              </w:numPr>
              <w:ind w:left="354" w:hanging="277"/>
              <w:cnfStyle w:val="000000010000" w:firstRow="0" w:lastRow="0" w:firstColumn="0" w:lastColumn="0" w:oddVBand="0" w:evenVBand="0" w:oddHBand="0" w:evenHBand="1" w:firstRowFirstColumn="0" w:firstRowLastColumn="0" w:lastRowFirstColumn="0" w:lastRowLastColumn="0"/>
            </w:pPr>
            <w:r>
              <w:t xml:space="preserve">No evidence has been presented that the proposed references in section 1.5.3—3 to two small parts of Schedule 22 will in fact </w:t>
            </w:r>
            <w:r w:rsidR="00D54724" w:rsidRPr="00D54724">
              <w:t>create confusion or red</w:t>
            </w:r>
            <w:r w:rsidR="00D54724">
              <w:t>uce transparency of application</w:t>
            </w:r>
            <w:r>
              <w:t>.</w:t>
            </w:r>
          </w:p>
        </w:tc>
      </w:tr>
      <w:tr w:rsidR="00F6228C" w:rsidRPr="00DB1359" w14:paraId="7CF08647" w14:textId="77777777" w:rsidTr="008C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Borders>
              <w:right w:val="single" w:sz="4" w:space="0" w:color="auto"/>
            </w:tcBorders>
          </w:tcPr>
          <w:p w14:paraId="36136774" w14:textId="40A4504B" w:rsidR="003A3ECA" w:rsidRDefault="00614E7D" w:rsidP="00614E7D">
            <w:pPr>
              <w:pStyle w:val="Table2"/>
              <w:ind w:left="0" w:firstLine="0"/>
              <w:jc w:val="center"/>
              <w:rPr>
                <w:b w:val="0"/>
              </w:rPr>
            </w:pPr>
            <w:r>
              <w:rPr>
                <w:b w:val="0"/>
              </w:rPr>
              <w:t>38</w:t>
            </w:r>
          </w:p>
        </w:tc>
        <w:tc>
          <w:tcPr>
            <w:tcW w:w="4653" w:type="dxa"/>
            <w:tcBorders>
              <w:right w:val="single" w:sz="4" w:space="0" w:color="auto"/>
            </w:tcBorders>
          </w:tcPr>
          <w:p w14:paraId="2174A0FD" w14:textId="24DD9B8A" w:rsidR="003A3ECA" w:rsidRPr="00B97010" w:rsidRDefault="003A3ECA" w:rsidP="003A3ECA">
            <w:pPr>
              <w:pStyle w:val="Table2"/>
              <w:ind w:left="0" w:firstLine="0"/>
              <w:cnfStyle w:val="000000100000" w:firstRow="0" w:lastRow="0" w:firstColumn="0" w:lastColumn="0" w:oddVBand="0" w:evenVBand="0" w:oddHBand="1" w:evenHBand="0" w:firstRowFirstColumn="0" w:firstRowLastColumn="0" w:lastRowFirstColumn="0" w:lastRowLastColumn="0"/>
            </w:pPr>
            <w:r w:rsidRPr="001D3A09">
              <w:t>The Queensland Government has a clear conflict of interest by being both the applicant for A1193 and having two representatives, namely the Hons Yvette D'Ath and Mark Furner, on the Forum, being one of the final arbiters of the de</w:t>
            </w:r>
            <w:r w:rsidR="00986188">
              <w:t>cision on its own application.</w:t>
            </w:r>
          </w:p>
        </w:tc>
        <w:tc>
          <w:tcPr>
            <w:tcW w:w="2096" w:type="dxa"/>
            <w:tcBorders>
              <w:left w:val="single" w:sz="4" w:space="0" w:color="auto"/>
              <w:right w:val="single" w:sz="4" w:space="0" w:color="auto"/>
            </w:tcBorders>
          </w:tcPr>
          <w:p w14:paraId="1250C734" w14:textId="77777777" w:rsidR="003A3ECA" w:rsidRDefault="003A3ECA" w:rsidP="003A3ECA">
            <w:pPr>
              <w:pStyle w:val="Table2"/>
              <w:cnfStyle w:val="000000100000" w:firstRow="0" w:lastRow="0" w:firstColumn="0" w:lastColumn="0" w:oddVBand="0" w:evenVBand="0" w:oddHBand="1" w:evenHBand="0" w:firstRowFirstColumn="0" w:firstRowLastColumn="0" w:lastRowFirstColumn="0" w:lastRowLastColumn="0"/>
            </w:pPr>
            <w:r w:rsidRPr="001D3A09">
              <w:t>Private individuals</w:t>
            </w:r>
          </w:p>
        </w:tc>
        <w:tc>
          <w:tcPr>
            <w:tcW w:w="6428" w:type="dxa"/>
            <w:tcBorders>
              <w:left w:val="single" w:sz="4" w:space="0" w:color="auto"/>
            </w:tcBorders>
          </w:tcPr>
          <w:p w14:paraId="14762654" w14:textId="14BF63E1" w:rsidR="00CA463B" w:rsidRDefault="00CA463B" w:rsidP="00D54724">
            <w:pPr>
              <w:pStyle w:val="Table2"/>
              <w:ind w:left="77" w:firstLine="0"/>
              <w:cnfStyle w:val="000000100000" w:firstRow="0" w:lastRow="0" w:firstColumn="0" w:lastColumn="0" w:oddVBand="0" w:evenVBand="0" w:oddHBand="1" w:evenHBand="0" w:firstRowFirstColumn="0" w:firstRowLastColumn="0" w:lastRowFirstColumn="0" w:lastRowLastColumn="0"/>
            </w:pPr>
            <w:r>
              <w:t xml:space="preserve">This issue </w:t>
            </w:r>
            <w:r w:rsidR="000714A6">
              <w:t xml:space="preserve">– </w:t>
            </w:r>
            <w:r w:rsidR="009D3802">
              <w:t xml:space="preserve">which relates to </w:t>
            </w:r>
            <w:r w:rsidR="009D3802" w:rsidRPr="001D3A09">
              <w:t>the Australia and New Zealand Ministe</w:t>
            </w:r>
            <w:r w:rsidR="009D3802">
              <w:t>rial Forum on Food Regulation (now the Food Ministers’ Meeting)</w:t>
            </w:r>
            <w:r w:rsidR="009D3802" w:rsidRPr="001D3A09">
              <w:t xml:space="preserve"> </w:t>
            </w:r>
            <w:r w:rsidR="000714A6">
              <w:t xml:space="preserve">– </w:t>
            </w:r>
            <w:r>
              <w:t xml:space="preserve">is out of scope. </w:t>
            </w:r>
          </w:p>
          <w:p w14:paraId="682CBC2C" w14:textId="77777777" w:rsidR="00CA463B" w:rsidRDefault="00CA463B" w:rsidP="00D54724">
            <w:pPr>
              <w:pStyle w:val="Table2"/>
              <w:ind w:left="77" w:firstLine="0"/>
              <w:cnfStyle w:val="000000100000" w:firstRow="0" w:lastRow="0" w:firstColumn="0" w:lastColumn="0" w:oddVBand="0" w:evenVBand="0" w:oddHBand="1" w:evenHBand="0" w:firstRowFirstColumn="0" w:firstRowLastColumn="0" w:lastRowFirstColumn="0" w:lastRowLastColumn="0"/>
            </w:pPr>
          </w:p>
          <w:p w14:paraId="6F653283" w14:textId="3B763C28" w:rsidR="003A3ECA" w:rsidRPr="00962A17" w:rsidRDefault="00CA463B" w:rsidP="000714A6">
            <w:pPr>
              <w:pStyle w:val="Table2"/>
              <w:ind w:left="77" w:firstLine="0"/>
              <w:cnfStyle w:val="000000100000" w:firstRow="0" w:lastRow="0" w:firstColumn="0" w:lastColumn="0" w:oddVBand="0" w:evenVBand="0" w:oddHBand="1" w:evenHBand="0" w:firstRowFirstColumn="0" w:firstRowLastColumn="0" w:lastRowFirstColumn="0" w:lastRowLastColumn="0"/>
            </w:pPr>
            <w:r>
              <w:t xml:space="preserve">As explained in this report, FSANZ made its own independent </w:t>
            </w:r>
            <w:r w:rsidR="009D3802">
              <w:t xml:space="preserve">and evidence based </w:t>
            </w:r>
            <w:r>
              <w:t>assessment of the application in accordance with the FSANZ Act</w:t>
            </w:r>
            <w:r w:rsidR="003A3ECA" w:rsidRPr="001D3A09">
              <w:t>.</w:t>
            </w:r>
          </w:p>
        </w:tc>
      </w:tr>
      <w:tr w:rsidR="00F6228C" w:rsidRPr="00125194" w14:paraId="6477A214" w14:textId="77777777" w:rsidTr="008C7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Borders>
              <w:bottom w:val="single" w:sz="4" w:space="0" w:color="auto"/>
              <w:right w:val="single" w:sz="4" w:space="0" w:color="auto"/>
            </w:tcBorders>
            <w:shd w:val="clear" w:color="auto" w:fill="C2D69B" w:themeFill="accent3" w:themeFillTint="99"/>
          </w:tcPr>
          <w:p w14:paraId="346B61E8" w14:textId="2B856832" w:rsidR="003A3ECA" w:rsidRPr="007269F2" w:rsidRDefault="003A3ECA" w:rsidP="003A3ECA">
            <w:pPr>
              <w:pStyle w:val="Table2"/>
              <w:ind w:left="0" w:firstLine="0"/>
              <w:rPr>
                <w:sz w:val="22"/>
                <w:szCs w:val="22"/>
              </w:rPr>
            </w:pPr>
          </w:p>
        </w:tc>
        <w:tc>
          <w:tcPr>
            <w:tcW w:w="4653" w:type="dxa"/>
            <w:tcBorders>
              <w:bottom w:val="single" w:sz="4" w:space="0" w:color="auto"/>
              <w:right w:val="single" w:sz="4" w:space="0" w:color="auto"/>
            </w:tcBorders>
            <w:shd w:val="clear" w:color="auto" w:fill="C2D69B" w:themeFill="accent3" w:themeFillTint="99"/>
          </w:tcPr>
          <w:p w14:paraId="1697D7C0" w14:textId="6ED76077" w:rsidR="003A3ECA" w:rsidRPr="00A71A6A" w:rsidRDefault="003A3ECA" w:rsidP="003A3ECA">
            <w:pPr>
              <w:pStyle w:val="Table2"/>
              <w:ind w:left="0" w:firstLine="0"/>
              <w:cnfStyle w:val="000000010000" w:firstRow="0" w:lastRow="0" w:firstColumn="0" w:lastColumn="0" w:oddVBand="0" w:evenVBand="0" w:oddHBand="0" w:evenHBand="1" w:firstRowFirstColumn="0" w:firstRowLastColumn="0" w:lastRowFirstColumn="0" w:lastRowLastColumn="0"/>
              <w:rPr>
                <w:b/>
                <w:bCs w:val="0"/>
                <w:sz w:val="22"/>
                <w:szCs w:val="22"/>
              </w:rPr>
            </w:pPr>
            <w:r w:rsidRPr="00A71A6A">
              <w:rPr>
                <w:b/>
                <w:bCs w:val="0"/>
                <w:sz w:val="22"/>
                <w:szCs w:val="22"/>
              </w:rPr>
              <w:t xml:space="preserve">Public opinion and legal aspects </w:t>
            </w:r>
          </w:p>
        </w:tc>
        <w:tc>
          <w:tcPr>
            <w:tcW w:w="2096" w:type="dxa"/>
            <w:tcBorders>
              <w:left w:val="single" w:sz="4" w:space="0" w:color="auto"/>
              <w:bottom w:val="single" w:sz="4" w:space="0" w:color="auto"/>
              <w:right w:val="single" w:sz="4" w:space="0" w:color="auto"/>
            </w:tcBorders>
            <w:shd w:val="clear" w:color="auto" w:fill="C2D69B" w:themeFill="accent3" w:themeFillTint="99"/>
          </w:tcPr>
          <w:p w14:paraId="5A3CABC0" w14:textId="77777777" w:rsidR="003A3ECA" w:rsidRPr="007269F2" w:rsidRDefault="003A3ECA" w:rsidP="003A3ECA">
            <w:pPr>
              <w:pStyle w:val="Table2"/>
              <w:cnfStyle w:val="000000010000" w:firstRow="0" w:lastRow="0" w:firstColumn="0" w:lastColumn="0" w:oddVBand="0" w:evenVBand="0" w:oddHBand="0" w:evenHBand="1" w:firstRowFirstColumn="0" w:firstRowLastColumn="0" w:lastRowFirstColumn="0" w:lastRowLastColumn="0"/>
              <w:rPr>
                <w:b/>
                <w:sz w:val="22"/>
                <w:szCs w:val="22"/>
              </w:rPr>
            </w:pPr>
          </w:p>
        </w:tc>
        <w:tc>
          <w:tcPr>
            <w:tcW w:w="6428" w:type="dxa"/>
            <w:tcBorders>
              <w:left w:val="single" w:sz="4" w:space="0" w:color="auto"/>
              <w:bottom w:val="single" w:sz="4" w:space="0" w:color="auto"/>
            </w:tcBorders>
            <w:shd w:val="clear" w:color="auto" w:fill="C2D69B" w:themeFill="accent3" w:themeFillTint="99"/>
          </w:tcPr>
          <w:p w14:paraId="6495DE22" w14:textId="0A95AFC9" w:rsidR="003A3ECA" w:rsidRPr="007269F2" w:rsidRDefault="003A3ECA" w:rsidP="003A3ECA">
            <w:pPr>
              <w:pStyle w:val="Table2"/>
              <w:ind w:left="77" w:firstLine="0"/>
              <w:cnfStyle w:val="000000010000" w:firstRow="0" w:lastRow="0" w:firstColumn="0" w:lastColumn="0" w:oddVBand="0" w:evenVBand="0" w:oddHBand="0" w:evenHBand="1" w:firstRowFirstColumn="0" w:firstRowLastColumn="0" w:lastRowFirstColumn="0" w:lastRowLastColumn="0"/>
              <w:rPr>
                <w:b/>
                <w:sz w:val="22"/>
                <w:szCs w:val="22"/>
              </w:rPr>
            </w:pPr>
          </w:p>
        </w:tc>
      </w:tr>
      <w:tr w:rsidR="00F6228C" w:rsidRPr="00125194" w14:paraId="7FFE1BC8" w14:textId="77777777" w:rsidTr="008C7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1" w:type="dxa"/>
            <w:tcBorders>
              <w:bottom w:val="single" w:sz="4" w:space="0" w:color="auto"/>
              <w:right w:val="single" w:sz="4" w:space="0" w:color="auto"/>
            </w:tcBorders>
            <w:shd w:val="clear" w:color="auto" w:fill="auto"/>
          </w:tcPr>
          <w:p w14:paraId="5C91D066" w14:textId="44D385C4" w:rsidR="003A3ECA" w:rsidRPr="004607A2" w:rsidRDefault="00614E7D" w:rsidP="00614E7D">
            <w:pPr>
              <w:pStyle w:val="Table2"/>
              <w:ind w:left="0" w:firstLine="0"/>
              <w:jc w:val="center"/>
              <w:rPr>
                <w:b w:val="0"/>
              </w:rPr>
            </w:pPr>
            <w:r>
              <w:rPr>
                <w:b w:val="0"/>
              </w:rPr>
              <w:t>39</w:t>
            </w:r>
          </w:p>
        </w:tc>
        <w:tc>
          <w:tcPr>
            <w:tcW w:w="4653" w:type="dxa"/>
            <w:tcBorders>
              <w:bottom w:val="single" w:sz="4" w:space="0" w:color="auto"/>
              <w:right w:val="single" w:sz="4" w:space="0" w:color="auto"/>
            </w:tcBorders>
            <w:shd w:val="clear" w:color="auto" w:fill="auto"/>
          </w:tcPr>
          <w:p w14:paraId="60F4D1EA" w14:textId="77777777" w:rsidR="003A3ECA" w:rsidRPr="004D7560" w:rsidRDefault="003A3ECA" w:rsidP="003A3ECA">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4D7560">
              <w:rPr>
                <w:sz w:val="18"/>
                <w:szCs w:val="18"/>
              </w:rPr>
              <w:t>A number of submitters raised concerns that the application was highly controversial, misguided and unwise, scientifically, and legally. In terms of the legal aspects, submitters raised concerns regarding the liability of the government (including the Queensland government) and FSANZ in relation to any long</w:t>
            </w:r>
            <w:r w:rsidRPr="004D7560">
              <w:rPr>
                <w:rFonts w:ascii="Cambria Math" w:hAnsi="Cambria Math" w:cs="Cambria Math"/>
                <w:sz w:val="18"/>
                <w:szCs w:val="18"/>
              </w:rPr>
              <w:t>‐</w:t>
            </w:r>
            <w:r w:rsidRPr="004D7560">
              <w:rPr>
                <w:sz w:val="18"/>
                <w:szCs w:val="18"/>
              </w:rPr>
              <w:t>term consequences for the public’s health.</w:t>
            </w:r>
          </w:p>
          <w:p w14:paraId="2B25D753" w14:textId="77777777" w:rsidR="003A3ECA" w:rsidRPr="00B97010" w:rsidRDefault="003A3ECA" w:rsidP="003A3ECA">
            <w:pPr>
              <w:pStyle w:val="Table2"/>
              <w:ind w:left="0" w:firstLine="0"/>
              <w:cnfStyle w:val="000000100000" w:firstRow="0" w:lastRow="0" w:firstColumn="0" w:lastColumn="0" w:oddVBand="0" w:evenVBand="0" w:oddHBand="1" w:evenHBand="0" w:firstRowFirstColumn="0" w:firstRowLastColumn="0" w:lastRowFirstColumn="0" w:lastRowLastColumn="0"/>
            </w:pPr>
          </w:p>
        </w:tc>
        <w:tc>
          <w:tcPr>
            <w:tcW w:w="2096" w:type="dxa"/>
            <w:tcBorders>
              <w:left w:val="single" w:sz="4" w:space="0" w:color="auto"/>
              <w:bottom w:val="single" w:sz="4" w:space="0" w:color="auto"/>
              <w:right w:val="single" w:sz="4" w:space="0" w:color="auto"/>
            </w:tcBorders>
            <w:shd w:val="clear" w:color="auto" w:fill="auto"/>
          </w:tcPr>
          <w:p w14:paraId="65C25268" w14:textId="77777777" w:rsidR="003A3ECA" w:rsidRPr="006A4DA0" w:rsidRDefault="003A3ECA" w:rsidP="003A3ECA">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6A4DA0">
              <w:rPr>
                <w:sz w:val="18"/>
                <w:szCs w:val="18"/>
              </w:rPr>
              <w:t>Private individuals</w:t>
            </w:r>
          </w:p>
          <w:p w14:paraId="6AE05604" w14:textId="77777777" w:rsidR="003A3ECA" w:rsidRPr="006A4DA0" w:rsidRDefault="003A3ECA" w:rsidP="003A3ECA">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3B50C96B" w14:textId="77777777" w:rsidR="003A3ECA" w:rsidRPr="006A4DA0" w:rsidRDefault="003A3ECA" w:rsidP="003A3ECA">
            <w:pPr>
              <w:pStyle w:val="FSTableText"/>
              <w:cnfStyle w:val="000000100000" w:firstRow="0" w:lastRow="0" w:firstColumn="0" w:lastColumn="0" w:oddVBand="0" w:evenVBand="0" w:oddHBand="1" w:evenHBand="0" w:firstRowFirstColumn="0" w:firstRowLastColumn="0" w:lastRowFirstColumn="0" w:lastRowLastColumn="0"/>
              <w:rPr>
                <w:sz w:val="18"/>
                <w:szCs w:val="18"/>
              </w:rPr>
            </w:pPr>
            <w:r w:rsidRPr="006A4DA0">
              <w:rPr>
                <w:sz w:val="18"/>
                <w:szCs w:val="18"/>
              </w:rPr>
              <w:t>Health practitioner</w:t>
            </w:r>
          </w:p>
          <w:p w14:paraId="254BF25A" w14:textId="77777777" w:rsidR="003A3ECA" w:rsidRPr="006A4DA0" w:rsidRDefault="003A3ECA" w:rsidP="003A3ECA">
            <w:pPr>
              <w:pStyle w:val="FSTableText"/>
              <w:cnfStyle w:val="000000100000" w:firstRow="0" w:lastRow="0" w:firstColumn="0" w:lastColumn="0" w:oddVBand="0" w:evenVBand="0" w:oddHBand="1" w:evenHBand="0" w:firstRowFirstColumn="0" w:firstRowLastColumn="0" w:lastRowFirstColumn="0" w:lastRowLastColumn="0"/>
              <w:rPr>
                <w:sz w:val="18"/>
                <w:szCs w:val="18"/>
              </w:rPr>
            </w:pPr>
          </w:p>
          <w:p w14:paraId="6D9D306C" w14:textId="77777777" w:rsidR="003A3ECA" w:rsidRPr="00125194" w:rsidRDefault="003A3ECA" w:rsidP="003A3ECA">
            <w:pPr>
              <w:pStyle w:val="Table2"/>
              <w:cnfStyle w:val="000000100000" w:firstRow="0" w:lastRow="0" w:firstColumn="0" w:lastColumn="0" w:oddVBand="0" w:evenVBand="0" w:oddHBand="1" w:evenHBand="0" w:firstRowFirstColumn="0" w:firstRowLastColumn="0" w:lastRowFirstColumn="0" w:lastRowLastColumn="0"/>
            </w:pPr>
            <w:r w:rsidRPr="006A4DA0">
              <w:rPr>
                <w:szCs w:val="18"/>
              </w:rPr>
              <w:t>Wiser Equity Pty Ltd</w:t>
            </w:r>
          </w:p>
        </w:tc>
        <w:tc>
          <w:tcPr>
            <w:tcW w:w="6428" w:type="dxa"/>
            <w:tcBorders>
              <w:left w:val="single" w:sz="4" w:space="0" w:color="auto"/>
              <w:bottom w:val="single" w:sz="4" w:space="0" w:color="auto"/>
            </w:tcBorders>
            <w:shd w:val="clear" w:color="auto" w:fill="auto"/>
          </w:tcPr>
          <w:p w14:paraId="3EE5FA6C" w14:textId="26865EF1" w:rsidR="009D3802" w:rsidRDefault="009D3802" w:rsidP="003A3ECA">
            <w:pPr>
              <w:pStyle w:val="FSTableText"/>
              <w:ind w:left="77"/>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FSANZ’s assessment, based on the available scientific evidence, is that irradiation of fruit and vegetables in the manner proposed does not pose </w:t>
            </w:r>
            <w:r w:rsidRPr="004D7560">
              <w:rPr>
                <w:sz w:val="18"/>
                <w:szCs w:val="18"/>
              </w:rPr>
              <w:t xml:space="preserve">any </w:t>
            </w:r>
            <w:r>
              <w:rPr>
                <w:sz w:val="18"/>
                <w:szCs w:val="18"/>
              </w:rPr>
              <w:t>public health and safety</w:t>
            </w:r>
            <w:r w:rsidR="002E4BD1">
              <w:rPr>
                <w:sz w:val="18"/>
                <w:szCs w:val="18"/>
              </w:rPr>
              <w:t xml:space="preserve"> concerns</w:t>
            </w:r>
            <w:r>
              <w:rPr>
                <w:sz w:val="18"/>
                <w:szCs w:val="18"/>
              </w:rPr>
              <w:t>. That assessment was conducted in accordance with and complied with the FSANZ Act.</w:t>
            </w:r>
          </w:p>
          <w:p w14:paraId="54D8B96A" w14:textId="77777777" w:rsidR="009D3802" w:rsidRDefault="009D3802" w:rsidP="003A3ECA">
            <w:pPr>
              <w:pStyle w:val="FSTableText"/>
              <w:ind w:left="77"/>
              <w:cnfStyle w:val="000000100000" w:firstRow="0" w:lastRow="0" w:firstColumn="0" w:lastColumn="0" w:oddVBand="0" w:evenVBand="0" w:oddHBand="1" w:evenHBand="0" w:firstRowFirstColumn="0" w:firstRowLastColumn="0" w:lastRowFirstColumn="0" w:lastRowLastColumn="0"/>
              <w:rPr>
                <w:sz w:val="18"/>
                <w:szCs w:val="18"/>
              </w:rPr>
            </w:pPr>
          </w:p>
          <w:p w14:paraId="2EDD6F28" w14:textId="1D379579" w:rsidR="003A3ECA" w:rsidRPr="00125194" w:rsidRDefault="003A3ECA" w:rsidP="002E4BD1">
            <w:pPr>
              <w:pStyle w:val="FSTableText"/>
              <w:ind w:left="77"/>
              <w:cnfStyle w:val="000000100000" w:firstRow="0" w:lastRow="0" w:firstColumn="0" w:lastColumn="0" w:oddVBand="0" w:evenVBand="0" w:oddHBand="1" w:evenHBand="0" w:firstRowFirstColumn="0" w:firstRowLastColumn="0" w:lastRowFirstColumn="0" w:lastRowLastColumn="0"/>
            </w:pPr>
            <w:r w:rsidRPr="006A4DA0">
              <w:rPr>
                <w:sz w:val="18"/>
                <w:szCs w:val="18"/>
              </w:rPr>
              <w:t>Irradiation has been used since the late 1950s and is one of the most extensively studied methods of food processing. The safety of irradiated foods has been evaluated by international scientific bodies and regulatory agencies in other countries</w:t>
            </w:r>
            <w:r>
              <w:rPr>
                <w:sz w:val="18"/>
                <w:szCs w:val="18"/>
              </w:rPr>
              <w:t xml:space="preserve">, </w:t>
            </w:r>
            <w:r w:rsidR="009D3802">
              <w:rPr>
                <w:sz w:val="18"/>
                <w:szCs w:val="18"/>
              </w:rPr>
              <w:t xml:space="preserve">as well as independently by </w:t>
            </w:r>
            <w:r>
              <w:rPr>
                <w:sz w:val="18"/>
                <w:szCs w:val="18"/>
              </w:rPr>
              <w:t>FSANZ.</w:t>
            </w:r>
            <w:r w:rsidRPr="006A4DA0">
              <w:rPr>
                <w:sz w:val="18"/>
                <w:szCs w:val="18"/>
              </w:rPr>
              <w:t xml:space="preserve"> FSANZ assessments</w:t>
            </w:r>
            <w:r>
              <w:rPr>
                <w:sz w:val="18"/>
                <w:szCs w:val="18"/>
              </w:rPr>
              <w:t xml:space="preserve"> have </w:t>
            </w:r>
            <w:r w:rsidRPr="006A4DA0">
              <w:rPr>
                <w:sz w:val="18"/>
                <w:szCs w:val="18"/>
              </w:rPr>
              <w:t xml:space="preserve">concluded that phytosanitary irradiation is technologically justified and effective in achieving its stated purpose, and that there </w:t>
            </w:r>
            <w:r>
              <w:rPr>
                <w:sz w:val="18"/>
                <w:szCs w:val="18"/>
              </w:rPr>
              <w:t>are</w:t>
            </w:r>
            <w:r w:rsidRPr="006A4DA0">
              <w:rPr>
                <w:sz w:val="18"/>
                <w:szCs w:val="18"/>
              </w:rPr>
              <w:t xml:space="preserve"> no public health and safety concerns. </w:t>
            </w:r>
          </w:p>
        </w:tc>
      </w:tr>
    </w:tbl>
    <w:p w14:paraId="48F3DC14" w14:textId="77777777" w:rsidR="00B46DEE" w:rsidRPr="003A01FB" w:rsidRDefault="00B46DEE" w:rsidP="00B46DEE"/>
    <w:p w14:paraId="083BBD76" w14:textId="05727593" w:rsidR="005603A0" w:rsidRPr="007269F2" w:rsidRDefault="00B46DEE">
      <w:pPr>
        <w:widowControl/>
      </w:pPr>
      <w:r>
        <w:rPr>
          <w:lang w:bidi="ar-SA"/>
        </w:rPr>
        <w:br w:type="page"/>
      </w:r>
    </w:p>
    <w:p w14:paraId="07EF866B" w14:textId="46353216" w:rsidR="005603A0" w:rsidRDefault="005603A0" w:rsidP="007A53BF">
      <w:pPr>
        <w:rPr>
          <w:color w:val="00B050"/>
        </w:rPr>
        <w:sectPr w:rsidR="005603A0" w:rsidSect="005603A0">
          <w:pgSz w:w="16838" w:h="11906" w:orient="landscape" w:code="9"/>
          <w:pgMar w:top="1418" w:right="1418" w:bottom="1418" w:left="1418" w:header="709" w:footer="709" w:gutter="0"/>
          <w:cols w:space="708"/>
          <w:docGrid w:linePitch="360"/>
        </w:sectPr>
      </w:pPr>
    </w:p>
    <w:p w14:paraId="6BA89B00" w14:textId="07738C77" w:rsidR="002C1A3B" w:rsidRPr="00932F14" w:rsidRDefault="0080668C" w:rsidP="00D131B1">
      <w:pPr>
        <w:pStyle w:val="Heading1"/>
        <w:ind w:left="0" w:firstLine="0"/>
      </w:pPr>
      <w:bookmarkStart w:id="114" w:name="_Toc370223472"/>
      <w:bookmarkStart w:id="115" w:name="_Toc370225387"/>
      <w:bookmarkStart w:id="116" w:name="_Toc65507079"/>
      <w:bookmarkStart w:id="117" w:name="_Toc65684144"/>
      <w:bookmarkStart w:id="118" w:name="_Toc65149698"/>
      <w:bookmarkStart w:id="119" w:name="_Toc71204371"/>
      <w:bookmarkStart w:id="120" w:name="_Toc309291812"/>
      <w:bookmarkStart w:id="121" w:name="_Toc175381442"/>
      <w:bookmarkEnd w:id="103"/>
      <w:bookmarkEnd w:id="104"/>
      <w:bookmarkEnd w:id="105"/>
      <w:bookmarkEnd w:id="106"/>
      <w:bookmarkEnd w:id="107"/>
      <w:bookmarkEnd w:id="108"/>
      <w:r>
        <w:lastRenderedPageBreak/>
        <w:t>3</w:t>
      </w:r>
      <w:r w:rsidR="002C1A3B">
        <w:tab/>
      </w:r>
      <w:r w:rsidR="002C1A3B" w:rsidRPr="00932F14">
        <w:t xml:space="preserve">Risk </w:t>
      </w:r>
      <w:r w:rsidR="002C1A3B">
        <w:t>a</w:t>
      </w:r>
      <w:r w:rsidR="002C1A3B" w:rsidRPr="00932F14">
        <w:t>ssessment</w:t>
      </w:r>
      <w:bookmarkEnd w:id="114"/>
      <w:bookmarkEnd w:id="115"/>
      <w:bookmarkEnd w:id="116"/>
      <w:bookmarkEnd w:id="117"/>
      <w:bookmarkEnd w:id="118"/>
      <w:bookmarkEnd w:id="119"/>
    </w:p>
    <w:p w14:paraId="4F0356A8" w14:textId="58D12AA1" w:rsidR="00FB1C13" w:rsidRDefault="00FB1C13" w:rsidP="00FB1C13">
      <w:bookmarkStart w:id="122" w:name="_Toc370223473"/>
      <w:bookmarkStart w:id="123" w:name="_Toc370225388"/>
      <w:bookmarkStart w:id="124" w:name="_Toc175381450"/>
      <w:bookmarkEnd w:id="120"/>
      <w:bookmarkEnd w:id="121"/>
      <w:r>
        <w:t xml:space="preserve">The risk </w:t>
      </w:r>
      <w:r w:rsidR="006843E2">
        <w:t xml:space="preserve">and technical assessment report </w:t>
      </w:r>
      <w:r>
        <w:t>investigated</w:t>
      </w:r>
      <w:r w:rsidR="000B1C2C">
        <w:t xml:space="preserve">: </w:t>
      </w:r>
      <w:r>
        <w:t>the technological need for the irradiation of all fresh fruit and vegetables for phytosanitary purposes</w:t>
      </w:r>
      <w:r w:rsidR="007A2AB2">
        <w:t>;</w:t>
      </w:r>
      <w:r>
        <w:t xml:space="preserve"> whether, when irradiated to a maximum dose of 1 kGy they are as safe and nutritious as their non-irradiated counterparts</w:t>
      </w:r>
      <w:r w:rsidR="007A2AB2">
        <w:t>;</w:t>
      </w:r>
      <w:r w:rsidR="00910483">
        <w:t xml:space="preserve"> </w:t>
      </w:r>
      <w:r>
        <w:t>and whether there are any implications for the dietary intake</w:t>
      </w:r>
      <w:r w:rsidR="00C15BF3">
        <w:t>s</w:t>
      </w:r>
      <w:r>
        <w:t xml:space="preserve"> of Australians and New Zealanders. </w:t>
      </w:r>
    </w:p>
    <w:p w14:paraId="4E203EA7" w14:textId="77777777" w:rsidR="00FB1C13" w:rsidRDefault="00FB1C13" w:rsidP="00FB1C13"/>
    <w:p w14:paraId="46105B6B" w14:textId="41FC7F59" w:rsidR="00FB1C13" w:rsidRDefault="00FB1C13" w:rsidP="00FB1C13">
      <w:r>
        <w:t>In undertaking th</w:t>
      </w:r>
      <w:r w:rsidR="006843E2">
        <w:t>e hazard</w:t>
      </w:r>
      <w:r w:rsidR="00AA11B4">
        <w:t xml:space="preserve"> assessment</w:t>
      </w:r>
      <w:r w:rsidR="00C15BF3">
        <w:t>,</w:t>
      </w:r>
      <w:r w:rsidR="006843E2">
        <w:t xml:space="preserve"> nutrition</w:t>
      </w:r>
      <w:r>
        <w:t xml:space="preserve"> risk </w:t>
      </w:r>
      <w:r w:rsidR="00AA11B4">
        <w:t xml:space="preserve">assessment </w:t>
      </w:r>
      <w:r w:rsidR="00C15BF3">
        <w:t>and dietary intake assessment</w:t>
      </w:r>
      <w:r>
        <w:t xml:space="preserve">, the outcomes of previous assessments by FSANZ were considered, as was a FSANZ review </w:t>
      </w:r>
      <w:r w:rsidR="00B9210F">
        <w:t xml:space="preserve">(FSANZ 2014) </w:t>
      </w:r>
      <w:r>
        <w:t>of the impact of phytosanitary doses of irradiation (up to 1</w:t>
      </w:r>
      <w:r w:rsidR="00AA11B4">
        <w:t> </w:t>
      </w:r>
      <w:r>
        <w:t>kGy) on the nutritional quality of a range of fruit and vegetables. The review report is available from the FSANZ website at the following link:</w:t>
      </w:r>
    </w:p>
    <w:p w14:paraId="7C8FEE09" w14:textId="77777777" w:rsidR="00FB1C13" w:rsidRDefault="00FB1C13" w:rsidP="00FB1C13"/>
    <w:p w14:paraId="38ABCB20" w14:textId="6EAAD55E" w:rsidR="00FB1C13" w:rsidRDefault="00DC604B" w:rsidP="00FB1C13">
      <w:hyperlink r:id="rId28" w:history="1">
        <w:r w:rsidR="00FB1C13">
          <w:rPr>
            <w:rStyle w:val="Hyperlink"/>
          </w:rPr>
          <w:t>https://www.foodstandards.gov.au/publications/Documents/Nutritional%20impact%20of%20phytosanitary%20irradiation%20of%20fruit%20and%20vegetables/Nutritional%20impact%20of%20phytosanitary%20irradiation%20of%20fruit%20and%20vegetables.pdf</w:t>
        </w:r>
      </w:hyperlink>
      <w:r w:rsidR="00C15BF3">
        <w:rPr>
          <w:rStyle w:val="Hyperlink"/>
        </w:rPr>
        <w:t>.</w:t>
      </w:r>
    </w:p>
    <w:p w14:paraId="319C6E35" w14:textId="77777777" w:rsidR="00FB1C13" w:rsidRDefault="00FB1C13" w:rsidP="00FB1C13"/>
    <w:p w14:paraId="593CAA17" w14:textId="69EFC262" w:rsidR="00FB1C13" w:rsidRDefault="00BC08E0" w:rsidP="00FB1C13">
      <w:r>
        <w:t>T</w:t>
      </w:r>
      <w:r w:rsidR="00FB1C13">
        <w:t>he present risk assessment analysed data and information on the technological efficacy of irradiation as a phytosanitary measure, and the safety and nutritional impacts of food irradiation, which has become available since the last irradiation application was considered by FSANZ in 2016.</w:t>
      </w:r>
    </w:p>
    <w:p w14:paraId="07560F19" w14:textId="77777777" w:rsidR="00FB1C13" w:rsidRDefault="00FB1C13" w:rsidP="00FB1C13"/>
    <w:p w14:paraId="0B8DE44A" w14:textId="2B0239E6" w:rsidR="00FB1C13" w:rsidRDefault="00FB1C13" w:rsidP="00FB1C13">
      <w:r>
        <w:t xml:space="preserve">Further details on the risk and technical assessment can be found in SD1. </w:t>
      </w:r>
    </w:p>
    <w:p w14:paraId="5D7B92D1" w14:textId="06533EA3" w:rsidR="00FB1C13" w:rsidRPr="00FB1C13" w:rsidRDefault="0080668C" w:rsidP="0080668C">
      <w:pPr>
        <w:pStyle w:val="Heading2"/>
      </w:pPr>
      <w:bookmarkStart w:id="125" w:name="_Toc54771263"/>
      <w:bookmarkStart w:id="126" w:name="_Toc51670624"/>
      <w:bookmarkStart w:id="127" w:name="_Toc51149152"/>
      <w:bookmarkStart w:id="128" w:name="_Toc65149699"/>
      <w:bookmarkStart w:id="129" w:name="_Toc65507080"/>
      <w:bookmarkStart w:id="130" w:name="_Toc65684145"/>
      <w:bookmarkStart w:id="131" w:name="_Toc71204372"/>
      <w:bookmarkStart w:id="132" w:name="_Toc334513806"/>
      <w:bookmarkStart w:id="133" w:name="_Toc351105742"/>
      <w:bookmarkStart w:id="134" w:name="_Toc451242030"/>
      <w:r>
        <w:t>3</w:t>
      </w:r>
      <w:r w:rsidR="00FB1C13" w:rsidRPr="00FB1C13">
        <w:t>.1</w:t>
      </w:r>
      <w:r w:rsidR="00FB1C13" w:rsidRPr="00FB1C13">
        <w:tab/>
        <w:t>Technological need and efficacy of irradiation</w:t>
      </w:r>
      <w:bookmarkEnd w:id="125"/>
      <w:bookmarkEnd w:id="126"/>
      <w:bookmarkEnd w:id="127"/>
      <w:bookmarkEnd w:id="128"/>
      <w:bookmarkEnd w:id="129"/>
      <w:bookmarkEnd w:id="130"/>
      <w:bookmarkEnd w:id="131"/>
      <w:r w:rsidR="00FB1C13" w:rsidRPr="00FB1C13">
        <w:t xml:space="preserve"> </w:t>
      </w:r>
      <w:bookmarkEnd w:id="132"/>
      <w:bookmarkEnd w:id="133"/>
      <w:bookmarkEnd w:id="134"/>
    </w:p>
    <w:p w14:paraId="68BC5502" w14:textId="77B0F0DE" w:rsidR="00FB1C13" w:rsidRDefault="00FB1C13" w:rsidP="00FB1C13">
      <w:pPr>
        <w:pStyle w:val="Bodystyle"/>
      </w:pPr>
      <w:r>
        <w:t xml:space="preserve">FSANZ has previously assessed the technological need and efficacy of irradiation as a phytosanitary measure for a number of fruit and vegetables. These assessments were conducted in </w:t>
      </w:r>
      <w:hyperlink r:id="rId29" w:history="1">
        <w:r>
          <w:rPr>
            <w:rStyle w:val="Hyperlink"/>
          </w:rPr>
          <w:t>2002</w:t>
        </w:r>
      </w:hyperlink>
      <w:r>
        <w:t xml:space="preserve">, </w:t>
      </w:r>
      <w:hyperlink r:id="rId30" w:history="1">
        <w:r>
          <w:rPr>
            <w:rStyle w:val="Hyperlink"/>
          </w:rPr>
          <w:t>2011</w:t>
        </w:r>
      </w:hyperlink>
      <w:r>
        <w:t xml:space="preserve">, </w:t>
      </w:r>
      <w:hyperlink r:id="rId31" w:history="1">
        <w:r>
          <w:rPr>
            <w:rStyle w:val="Hyperlink"/>
          </w:rPr>
          <w:t>2013</w:t>
        </w:r>
      </w:hyperlink>
      <w:r>
        <w:t xml:space="preserve">, </w:t>
      </w:r>
      <w:hyperlink r:id="rId32" w:history="1">
        <w:r>
          <w:rPr>
            <w:rStyle w:val="Hyperlink"/>
          </w:rPr>
          <w:t>2014</w:t>
        </w:r>
      </w:hyperlink>
      <w:r>
        <w:t xml:space="preserve"> and </w:t>
      </w:r>
      <w:hyperlink r:id="rId33" w:history="1">
        <w:r>
          <w:rPr>
            <w:rStyle w:val="Hyperlink"/>
          </w:rPr>
          <w:t>2016</w:t>
        </w:r>
      </w:hyperlink>
      <w:r>
        <w:t xml:space="preserve">. In each case, FSANZ concluded that there was an established </w:t>
      </w:r>
      <w:r w:rsidR="002E4BD1">
        <w:t xml:space="preserve">technological </w:t>
      </w:r>
      <w:r>
        <w:t>need to irradiate these foods</w:t>
      </w:r>
      <w:r w:rsidR="002E4BD1">
        <w:t>, and that irradiation was an efficacious treatment option</w:t>
      </w:r>
      <w:r>
        <w:t xml:space="preserve">. </w:t>
      </w:r>
    </w:p>
    <w:p w14:paraId="1C161BF3" w14:textId="3EBF0D5C" w:rsidR="00FB1C13" w:rsidRPr="000145D7" w:rsidRDefault="0080668C" w:rsidP="0080668C">
      <w:pPr>
        <w:pStyle w:val="Heading3"/>
      </w:pPr>
      <w:bookmarkStart w:id="135" w:name="_Toc65149700"/>
      <w:bookmarkStart w:id="136" w:name="_Toc65507081"/>
      <w:bookmarkStart w:id="137" w:name="_Toc65684146"/>
      <w:bookmarkStart w:id="138" w:name="_Toc71204373"/>
      <w:r>
        <w:t>3</w:t>
      </w:r>
      <w:r w:rsidR="00FB1C13" w:rsidRPr="000145D7">
        <w:t>.</w:t>
      </w:r>
      <w:r>
        <w:t>1</w:t>
      </w:r>
      <w:r w:rsidR="00FB1C13" w:rsidRPr="000145D7">
        <w:t>.1</w:t>
      </w:r>
      <w:r w:rsidR="00FB1C13" w:rsidRPr="000145D7">
        <w:tab/>
        <w:t>Justification for use of irradiation as a phytosanitary measure</w:t>
      </w:r>
      <w:bookmarkEnd w:id="135"/>
      <w:bookmarkEnd w:id="136"/>
      <w:bookmarkEnd w:id="137"/>
      <w:bookmarkEnd w:id="138"/>
    </w:p>
    <w:p w14:paraId="173AF42C" w14:textId="77777777" w:rsidR="00FB1C13" w:rsidRDefault="00FB1C13" w:rsidP="00FB1C13">
      <w:pPr>
        <w:pStyle w:val="Bodystyle"/>
      </w:pPr>
      <w:r>
        <w:t xml:space="preserve">Insect pests of quarantine significance such as fruit fly are a major barrier in gaining access to some markets. Therefore, effective treatments for such pests for quarantine purposes are essential. </w:t>
      </w:r>
    </w:p>
    <w:p w14:paraId="5F7B8488" w14:textId="5A5FED09" w:rsidR="000145D7" w:rsidRDefault="00D04857" w:rsidP="00FB1C13">
      <w:r>
        <w:t xml:space="preserve">Ionising radiation provides an </w:t>
      </w:r>
      <w:r w:rsidR="00FB1C13">
        <w:t xml:space="preserve">effective quarantine treatment option that is well established in the international trade of horticultural products. </w:t>
      </w:r>
      <w:r w:rsidR="000145D7">
        <w:t>As mentioned in Section 1.4 above, i</w:t>
      </w:r>
      <w:r w:rsidR="00FB1C13">
        <w:t xml:space="preserve">ts use is endorsed by </w:t>
      </w:r>
      <w:r w:rsidR="000145D7">
        <w:t xml:space="preserve">the relevant international standard setting agencies </w:t>
      </w:r>
      <w:r w:rsidR="00FB1C13">
        <w:t>Codex</w:t>
      </w:r>
      <w:r w:rsidR="000145D7">
        <w:t xml:space="preserve"> and the IPPC. </w:t>
      </w:r>
    </w:p>
    <w:p w14:paraId="5F2223C8" w14:textId="77777777" w:rsidR="000145D7" w:rsidRDefault="000145D7" w:rsidP="00FB1C13"/>
    <w:p w14:paraId="4BB60CFB" w14:textId="1057566F" w:rsidR="00FB1C13" w:rsidRDefault="00FB1C13" w:rsidP="00B975CF">
      <w:r>
        <w:t xml:space="preserve">Quarantine agencies in Australia and New Zealand, </w:t>
      </w:r>
      <w:r w:rsidR="00D04857">
        <w:t xml:space="preserve">including </w:t>
      </w:r>
      <w:r>
        <w:t xml:space="preserve">the Australian Government Department of Agriculture, Water and the Environment (DAWE), </w:t>
      </w:r>
      <w:r w:rsidR="00D04857">
        <w:t xml:space="preserve">Biosecurity Tasmania </w:t>
      </w:r>
      <w:r>
        <w:t xml:space="preserve">and Biosecurity New Zealand (in the New Zealand Ministry for Primary Industries (MPI)) endorse </w:t>
      </w:r>
      <w:r w:rsidR="00DD4AC0">
        <w:t xml:space="preserve">the </w:t>
      </w:r>
      <w:r>
        <w:t xml:space="preserve">use </w:t>
      </w:r>
      <w:r w:rsidR="00DD4AC0">
        <w:t xml:space="preserve">of irradiation </w:t>
      </w:r>
      <w:r>
        <w:t>as an important quarantine measure for regulated pests.</w:t>
      </w:r>
      <w:r w:rsidR="00B975CF">
        <w:t xml:space="preserve"> Notably, in its submission to FSANZ, Biosecurity Tasmania advised that it considered irradiation to be an effective phytosanitary measure</w:t>
      </w:r>
      <w:r w:rsidR="00DD4AC0">
        <w:t>, which provides</w:t>
      </w:r>
      <w:r w:rsidR="00B975CF">
        <w:t xml:space="preserve"> a quality alternative to </w:t>
      </w:r>
      <w:r w:rsidR="00DD4AC0">
        <w:t xml:space="preserve">MeBr </w:t>
      </w:r>
      <w:r w:rsidR="00B975CF">
        <w:t>fumigation and use of certain insecticides that are becoming more restricted or being phased out.</w:t>
      </w:r>
    </w:p>
    <w:p w14:paraId="255746CA" w14:textId="3BB4ECA8" w:rsidR="00695FB4" w:rsidRDefault="00695FB4" w:rsidP="00B975CF"/>
    <w:p w14:paraId="0C459AAE" w14:textId="3BCB4A03" w:rsidR="00695FB4" w:rsidRDefault="00695FB4" w:rsidP="00695FB4">
      <w:r>
        <w:rPr>
          <w:rFonts w:cs="Arial"/>
          <w:lang w:eastAsia="en-GB"/>
        </w:rPr>
        <w:t xml:space="preserve">DAWE and Biosecurity New Zealand </w:t>
      </w:r>
      <w:r w:rsidRPr="00B25954">
        <w:t>will still need to independently perform an import risk assessment (for quarantine purposes) on irradiation of fruit</w:t>
      </w:r>
      <w:r>
        <w:t xml:space="preserve"> </w:t>
      </w:r>
      <w:r>
        <w:rPr>
          <w:rFonts w:cs="Arial"/>
        </w:rPr>
        <w:t xml:space="preserve">and vegetables </w:t>
      </w:r>
      <w:r w:rsidRPr="00B25954">
        <w:t>specifically for food imported into Australia or New Zealand. These assessments are separate from the food standards approval process.</w:t>
      </w:r>
    </w:p>
    <w:p w14:paraId="38E4A9EC" w14:textId="77777777" w:rsidR="00C11E58" w:rsidRPr="00B25954" w:rsidRDefault="00C11E58" w:rsidP="00695FB4"/>
    <w:p w14:paraId="48E0A771" w14:textId="62E90553" w:rsidR="00FB1C13" w:rsidRDefault="00B82826" w:rsidP="00FB1C13">
      <w:bookmarkStart w:id="139" w:name="_Toc28004028"/>
      <w:bookmarkStart w:id="140" w:name="_Toc51149147"/>
      <w:r>
        <w:t>There are certain advantages to using i</w:t>
      </w:r>
      <w:r w:rsidR="00FB1C13">
        <w:t xml:space="preserve">onising radiation </w:t>
      </w:r>
      <w:r>
        <w:t xml:space="preserve">in that it </w:t>
      </w:r>
      <w:r w:rsidR="00FB1C13">
        <w:t>is a broad-spectrum treatment useful for commodities that do not tolerate other options such as heat treatment or prolonged cold storage well</w:t>
      </w:r>
      <w:r>
        <w:t xml:space="preserve">, </w:t>
      </w:r>
      <w:r w:rsidR="0090663E">
        <w:t xml:space="preserve">resulting in </w:t>
      </w:r>
      <w:r>
        <w:t>phytotoxicity or quality issues</w:t>
      </w:r>
      <w:r w:rsidR="00FB1C13">
        <w:t xml:space="preserve">. At the low doses required to meet a phytosanitary objective (namely, </w:t>
      </w:r>
      <w:r w:rsidR="00FB1C13">
        <w:lastRenderedPageBreak/>
        <w:t xml:space="preserve">pest disinfestation), irradiation is well-tolerated by the majority of fruit and vegetables. An absorbed minimum dose of 400 Gy is an effective quarantine treatment for the life stages of most arthropod pests associated with the movement of fresh horticultural commodities; 150 Gy is </w:t>
      </w:r>
      <w:r>
        <w:t xml:space="preserve">effective </w:t>
      </w:r>
      <w:r w:rsidR="00FB1C13">
        <w:t xml:space="preserve">for fruit flies. These doses are consistent with international standards and those set by domestic quarantine </w:t>
      </w:r>
      <w:r w:rsidR="008D6182">
        <w:t xml:space="preserve">agencies </w:t>
      </w:r>
      <w:r w:rsidR="00FA53AE">
        <w:t>(</w:t>
      </w:r>
      <w:r w:rsidR="008D6182">
        <w:t>See Section 2.5 of SD</w:t>
      </w:r>
      <w:r w:rsidR="00FB1C13">
        <w:t>1 for further details</w:t>
      </w:r>
      <w:r w:rsidR="00FA53AE">
        <w:t>)</w:t>
      </w:r>
      <w:r w:rsidR="00FB1C13">
        <w:t>.</w:t>
      </w:r>
    </w:p>
    <w:p w14:paraId="2F81AC2F" w14:textId="643DAD66" w:rsidR="0031601C" w:rsidRDefault="0031601C" w:rsidP="00FB1C13"/>
    <w:p w14:paraId="2D32191E" w14:textId="00715C41" w:rsidR="0031601C" w:rsidRPr="00450DC1" w:rsidRDefault="0031601C" w:rsidP="00FB1C13">
      <w:pPr>
        <w:rPr>
          <w:szCs w:val="22"/>
        </w:rPr>
      </w:pPr>
      <w:r w:rsidRPr="0031601C">
        <w:t xml:space="preserve">The application </w:t>
      </w:r>
      <w:r w:rsidR="003C3262">
        <w:t>stated</w:t>
      </w:r>
      <w:r w:rsidR="00E1112B">
        <w:t xml:space="preserve"> </w:t>
      </w:r>
      <w:r w:rsidRPr="0031601C">
        <w:t>that the permission, if granted, would in practice apply to only a small proportion of domestically produced and imported produce that requires a phytosanitary treatment to permit its movement into another quarantine region</w:t>
      </w:r>
      <w:r w:rsidR="009217A0">
        <w:t xml:space="preserve"> (</w:t>
      </w:r>
      <w:r w:rsidR="009217A0" w:rsidRPr="009217A0">
        <w:t>between 0.3 – 8% of total fruit and vegetables consumed in Australia and New Zealand might be irradiated</w:t>
      </w:r>
      <w:r w:rsidR="009217A0">
        <w:t>)</w:t>
      </w:r>
      <w:r w:rsidRPr="0031601C">
        <w:t>.</w:t>
      </w:r>
      <w:r>
        <w:t xml:space="preserve"> </w:t>
      </w:r>
      <w:r w:rsidRPr="0031601C">
        <w:t>Appendix 3 of the application provide</w:t>
      </w:r>
      <w:r w:rsidR="00450DC1">
        <w:t>d</w:t>
      </w:r>
      <w:r w:rsidRPr="0031601C">
        <w:t xml:space="preserve"> further details regarding the potential </w:t>
      </w:r>
      <w:r w:rsidR="00FA53AE">
        <w:t>of</w:t>
      </w:r>
      <w:r w:rsidR="00FA53AE" w:rsidRPr="0031601C">
        <w:t xml:space="preserve"> </w:t>
      </w:r>
      <w:r w:rsidRPr="0031601C">
        <w:t>phytosanitary irradiation treatment for various produce items in the medium term, based on commercial significance and supply and demand influences. For many commonly consumed fresh produce items</w:t>
      </w:r>
      <w:r w:rsidR="00FA53AE">
        <w:t>,</w:t>
      </w:r>
      <w:r w:rsidRPr="0031601C">
        <w:t xml:space="preserve"> including apples, oranges, carrots, broccoli, cauliflower, onions and salad leaf, the application stated that the use of irradiation to meet quarantine requirements and/or industry needs would be of low commercial significance. Likewise, the application also stated that the expected use of irradiation on these produce items to balance seasonal supply and demand will be on a rare or emergency trade need basis only.</w:t>
      </w:r>
      <w:r w:rsidR="00450DC1" w:rsidRPr="00450DC1">
        <w:rPr>
          <w:rFonts w:cs="Arial"/>
          <w:iCs/>
          <w:sz w:val="18"/>
          <w:szCs w:val="18"/>
        </w:rPr>
        <w:t xml:space="preserve"> </w:t>
      </w:r>
      <w:r w:rsidR="00450DC1">
        <w:rPr>
          <w:rFonts w:cs="Arial"/>
          <w:iCs/>
          <w:szCs w:val="22"/>
        </w:rPr>
        <w:t>This information is</w:t>
      </w:r>
      <w:r w:rsidR="00450DC1" w:rsidRPr="00450DC1">
        <w:rPr>
          <w:rFonts w:cs="Arial"/>
          <w:iCs/>
          <w:szCs w:val="22"/>
        </w:rPr>
        <w:t xml:space="preserve"> based on the applicant’s </w:t>
      </w:r>
      <w:r w:rsidR="003C3262">
        <w:rPr>
          <w:rFonts w:cs="Arial"/>
          <w:iCs/>
          <w:szCs w:val="22"/>
        </w:rPr>
        <w:t xml:space="preserve">knowledge of </w:t>
      </w:r>
      <w:r w:rsidR="00450DC1" w:rsidRPr="00450DC1">
        <w:rPr>
          <w:rFonts w:cs="Arial"/>
          <w:iCs/>
          <w:szCs w:val="22"/>
        </w:rPr>
        <w:t>phytosanitary treatments and commodity trade in general.</w:t>
      </w:r>
    </w:p>
    <w:p w14:paraId="6D8488CB" w14:textId="6975D680" w:rsidR="00FB1C13" w:rsidRPr="0080668C" w:rsidRDefault="0080668C" w:rsidP="0080668C">
      <w:pPr>
        <w:pStyle w:val="Heading3"/>
      </w:pPr>
      <w:bookmarkStart w:id="141" w:name="_Toc65149701"/>
      <w:bookmarkStart w:id="142" w:name="_Toc65507082"/>
      <w:bookmarkStart w:id="143" w:name="_Toc65684147"/>
      <w:bookmarkStart w:id="144" w:name="_Toc71204374"/>
      <w:r>
        <w:t>3</w:t>
      </w:r>
      <w:r w:rsidR="00FB1C13" w:rsidRPr="0080668C">
        <w:t>.</w:t>
      </w:r>
      <w:r>
        <w:t>1</w:t>
      </w:r>
      <w:r w:rsidR="00FB1C13" w:rsidRPr="0080668C">
        <w:t>.2</w:t>
      </w:r>
      <w:r w:rsidR="00FB1C13" w:rsidRPr="0080668C">
        <w:tab/>
        <w:t xml:space="preserve">Worldwide permissions for </w:t>
      </w:r>
      <w:bookmarkEnd w:id="139"/>
      <w:r w:rsidR="00FB1C13" w:rsidRPr="0080668C">
        <w:t>food irradiation</w:t>
      </w:r>
      <w:bookmarkEnd w:id="140"/>
      <w:bookmarkEnd w:id="141"/>
      <w:bookmarkEnd w:id="142"/>
      <w:bookmarkEnd w:id="143"/>
      <w:bookmarkEnd w:id="144"/>
    </w:p>
    <w:p w14:paraId="1080BF6C" w14:textId="2C0F1668" w:rsidR="00FB1C13" w:rsidRDefault="00FB1C13" w:rsidP="00FB1C13">
      <w:pPr>
        <w:tabs>
          <w:tab w:val="left" w:pos="993"/>
        </w:tabs>
      </w:pPr>
      <w:r>
        <w:t>Currently, food irradiation is approved in more than 60 countries (GHI 2018), including for fresh fruit and vegetables. P</w:t>
      </w:r>
      <w:r>
        <w:rPr>
          <w:lang w:bidi="ar-SA"/>
        </w:rPr>
        <w:t xml:space="preserve">ermissions vary considerably in different parts of the world, and they are based on either a case-by-case or a generic approach (without any foods specifically listed) as adopted by </w:t>
      </w:r>
      <w:bookmarkStart w:id="145" w:name="_Ref50621656"/>
      <w:r>
        <w:rPr>
          <w:lang w:bidi="ar-SA"/>
        </w:rPr>
        <w:t>Codex</w:t>
      </w:r>
      <w:r w:rsidR="003A249A">
        <w:rPr>
          <w:lang w:bidi="ar-SA"/>
        </w:rPr>
        <w:t xml:space="preserve"> (see Section </w:t>
      </w:r>
      <w:r w:rsidR="00A718A4">
        <w:rPr>
          <w:lang w:bidi="ar-SA"/>
        </w:rPr>
        <w:t>1.4</w:t>
      </w:r>
      <w:r w:rsidR="003A249A">
        <w:rPr>
          <w:lang w:bidi="ar-SA"/>
        </w:rPr>
        <w:t>)</w:t>
      </w:r>
      <w:r>
        <w:rPr>
          <w:lang w:bidi="ar-SA"/>
        </w:rPr>
        <w:t xml:space="preserve">. </w:t>
      </w:r>
      <w:r>
        <w:t xml:space="preserve">A generic approval for the irradiation of all fresh fruit and vegetables for pest disinfestation for a phytosanitary objective will bring Australian and New Zealand regulations more into line with international and </w:t>
      </w:r>
      <w:r w:rsidR="00CE44A2">
        <w:t xml:space="preserve">other countries’ </w:t>
      </w:r>
      <w:r>
        <w:t xml:space="preserve">standards. See </w:t>
      </w:r>
      <w:r w:rsidR="00AF38B0">
        <w:rPr>
          <w:lang w:bidi="ar-SA"/>
        </w:rPr>
        <w:fldChar w:fldCharType="begin"/>
      </w:r>
      <w:r w:rsidR="00AF38B0">
        <w:instrText xml:space="preserve"> REF _Ref65681589 \h </w:instrText>
      </w:r>
      <w:r w:rsidR="00AF38B0">
        <w:rPr>
          <w:lang w:bidi="ar-SA"/>
        </w:rPr>
      </w:r>
      <w:r w:rsidR="00AF38B0">
        <w:rPr>
          <w:lang w:bidi="ar-SA"/>
        </w:rPr>
        <w:fldChar w:fldCharType="separate"/>
      </w:r>
      <w:r w:rsidR="00A67B9C">
        <w:t xml:space="preserve">Appendix </w:t>
      </w:r>
      <w:r w:rsidR="00A67B9C">
        <w:rPr>
          <w:noProof/>
        </w:rPr>
        <w:t>1</w:t>
      </w:r>
      <w:r w:rsidR="00AF38B0">
        <w:rPr>
          <w:lang w:bidi="ar-SA"/>
        </w:rPr>
        <w:fldChar w:fldCharType="end"/>
      </w:r>
      <w:r w:rsidR="00AF38B0">
        <w:rPr>
          <w:lang w:bidi="ar-SA"/>
        </w:rPr>
        <w:t xml:space="preserve"> </w:t>
      </w:r>
      <w:r>
        <w:rPr>
          <w:lang w:bidi="ar-SA"/>
        </w:rPr>
        <w:t>for a summary of specific countries’ permissions for irradiated foods</w:t>
      </w:r>
      <w:r>
        <w:t>.</w:t>
      </w:r>
    </w:p>
    <w:p w14:paraId="363C4676" w14:textId="0785B47B" w:rsidR="00FB1C13" w:rsidRDefault="0080668C" w:rsidP="0080668C">
      <w:pPr>
        <w:pStyle w:val="Heading3"/>
      </w:pPr>
      <w:bookmarkStart w:id="146" w:name="_Toc65149702"/>
      <w:bookmarkStart w:id="147" w:name="_Toc65507083"/>
      <w:bookmarkStart w:id="148" w:name="_Toc65684148"/>
      <w:bookmarkStart w:id="149" w:name="_Toc71204375"/>
      <w:bookmarkEnd w:id="145"/>
      <w:r>
        <w:t>3</w:t>
      </w:r>
      <w:r w:rsidR="00FB1C13" w:rsidRPr="000145D7">
        <w:t>.1.3</w:t>
      </w:r>
      <w:r w:rsidR="00FB1C13" w:rsidRPr="000145D7">
        <w:tab/>
        <w:t>Summary</w:t>
      </w:r>
      <w:bookmarkEnd w:id="146"/>
      <w:bookmarkEnd w:id="147"/>
      <w:bookmarkEnd w:id="148"/>
      <w:bookmarkEnd w:id="149"/>
      <w:r w:rsidR="00FB1C13">
        <w:t xml:space="preserve"> </w:t>
      </w:r>
    </w:p>
    <w:p w14:paraId="4167E77F" w14:textId="7C96D932" w:rsidR="00FB1C13" w:rsidRDefault="00FB1C13" w:rsidP="00FB1C13">
      <w:pPr>
        <w:rPr>
          <w:rFonts w:cs="Arial"/>
        </w:rPr>
      </w:pPr>
      <w:r>
        <w:rPr>
          <w:rFonts w:cs="Arial"/>
        </w:rPr>
        <w:t xml:space="preserve">Irradiation is already approved for use in Australia and New Zealand as a phytosanitary treatment for </w:t>
      </w:r>
      <w:r w:rsidR="00D93AF3">
        <w:rPr>
          <w:rFonts w:cs="Arial"/>
        </w:rPr>
        <w:t xml:space="preserve">26 </w:t>
      </w:r>
      <w:r>
        <w:rPr>
          <w:rFonts w:cs="Arial"/>
        </w:rPr>
        <w:t>fruit</w:t>
      </w:r>
      <w:r w:rsidR="004E5915">
        <w:rPr>
          <w:rFonts w:cs="Arial"/>
        </w:rPr>
        <w:t>s</w:t>
      </w:r>
      <w:r>
        <w:rPr>
          <w:rFonts w:cs="Arial"/>
        </w:rPr>
        <w:t xml:space="preserve"> and vegetables. It is globally recognised as being efficacious and cost-effective, and phytosanitary doses are well-tolerated by the majority of fruit and vegetables. </w:t>
      </w:r>
      <w:r>
        <w:t>DAWE</w:t>
      </w:r>
      <w:r w:rsidR="003A249A">
        <w:t>,</w:t>
      </w:r>
      <w:r>
        <w:t xml:space="preserve"> </w:t>
      </w:r>
      <w:r w:rsidR="003A249A">
        <w:t xml:space="preserve">Biosecurity Tasmania </w:t>
      </w:r>
      <w:r>
        <w:t>and NZ MPI</w:t>
      </w:r>
      <w:r>
        <w:rPr>
          <w:rFonts w:cs="Arial"/>
        </w:rPr>
        <w:t xml:space="preserve"> have provided advice to FSANZ endorsing irradiation as an effective quarantine treatment for regulated arthropod pests, including fruit flies, which are of quarantine concern to Australia and New Zealand. </w:t>
      </w:r>
    </w:p>
    <w:p w14:paraId="4A28C9AE" w14:textId="77777777" w:rsidR="00FB1C13" w:rsidRDefault="00FB1C13" w:rsidP="00FB1C13">
      <w:pPr>
        <w:rPr>
          <w:rFonts w:cs="Arial"/>
          <w:lang w:eastAsia="en-GB"/>
        </w:rPr>
      </w:pPr>
    </w:p>
    <w:p w14:paraId="19CDEA2F" w14:textId="6B83BED0" w:rsidR="00FB1C13" w:rsidRDefault="00FB1C13" w:rsidP="00FB1C13">
      <w:bookmarkStart w:id="150" w:name="_Toc351105743"/>
      <w:bookmarkStart w:id="151" w:name="_Toc334513807"/>
      <w:r>
        <w:t xml:space="preserve">The majority of fresh produce in Australia and New Zealand is grown and consumed in the same quarantine jurisdiction and, as such, is not subject to any phytosanitary treatment for pest disinfestation. </w:t>
      </w:r>
      <w:r w:rsidR="003A249A">
        <w:t xml:space="preserve">A further proportion destined for different quarantine regions do not require </w:t>
      </w:r>
      <w:r w:rsidR="003A249A" w:rsidRPr="003A249A">
        <w:t>phytosanitary treatment because the harvesting and processing requirements result in soil and pest free commodities</w:t>
      </w:r>
      <w:r w:rsidR="0090663E">
        <w:t>, or else existing phytosanitary treatments remain the best option.</w:t>
      </w:r>
      <w:r w:rsidR="003A249A" w:rsidRPr="003A249A">
        <w:t xml:space="preserve"> </w:t>
      </w:r>
      <w:r>
        <w:t xml:space="preserve">Therefore, only a small </w:t>
      </w:r>
      <w:r w:rsidR="00FA295C">
        <w:t>proportion</w:t>
      </w:r>
      <w:r>
        <w:t xml:space="preserve"> of the fresh produce available for consumption may be subjected to irradiation. </w:t>
      </w:r>
    </w:p>
    <w:p w14:paraId="0B9DDBFA" w14:textId="77777777" w:rsidR="00FB1C13" w:rsidRDefault="00FB1C13" w:rsidP="00FB1C13"/>
    <w:p w14:paraId="420CC390" w14:textId="77777777" w:rsidR="00FB1C13" w:rsidRDefault="00FB1C13" w:rsidP="00FB1C13">
      <w:r>
        <w:t xml:space="preserve">The irradiation of fresh fruit and vegetables for anything other than a phytosanitary purpose is not permitted under the Code and approval of this application will not change this. </w:t>
      </w:r>
    </w:p>
    <w:p w14:paraId="7EB7388F" w14:textId="77777777" w:rsidR="00FB1C13" w:rsidRDefault="00FB1C13" w:rsidP="00FB1C13"/>
    <w:p w14:paraId="5601D091" w14:textId="0FEF3014" w:rsidR="00FB1C13" w:rsidRDefault="00FB1C13" w:rsidP="00FB1C13">
      <w:r>
        <w:t xml:space="preserve">In determining an appropriate phytosanitary treatment, individual businesses within the horticultural sector will have a number of options, one of which </w:t>
      </w:r>
      <w:r w:rsidR="0090663E">
        <w:t xml:space="preserve">will </w:t>
      </w:r>
      <w:r>
        <w:t xml:space="preserve">be ionising radiation. The availability of this as an option will also depend on the permissions for use that apply in the jurisdiction receiving the goods; in Australia and New Zealand this involves a pre-market safety assessment. Ultimately, businesses will </w:t>
      </w:r>
      <w:r w:rsidR="0090663E">
        <w:t>be able to choose</w:t>
      </w:r>
      <w:r>
        <w:t xml:space="preserve"> the treatment option that is best for their particular circumstances, based on an assessment of all relevant factors including efficiency and cost.  </w:t>
      </w:r>
    </w:p>
    <w:p w14:paraId="1EAB2604" w14:textId="1D0EB201" w:rsidR="00FB1C13" w:rsidRDefault="0080668C" w:rsidP="0080668C">
      <w:pPr>
        <w:pStyle w:val="Heading2"/>
      </w:pPr>
      <w:bookmarkStart w:id="152" w:name="_Toc54771264"/>
      <w:bookmarkStart w:id="153" w:name="_Toc51670625"/>
      <w:bookmarkStart w:id="154" w:name="_Toc51149153"/>
      <w:bookmarkStart w:id="155" w:name="_Toc451242031"/>
      <w:bookmarkStart w:id="156" w:name="_Toc65507084"/>
      <w:bookmarkStart w:id="157" w:name="_Toc65684149"/>
      <w:bookmarkStart w:id="158" w:name="_Toc71204376"/>
      <w:bookmarkStart w:id="159" w:name="_Toc65149703"/>
      <w:r>
        <w:lastRenderedPageBreak/>
        <w:t>3</w:t>
      </w:r>
      <w:r w:rsidR="00FB1C13" w:rsidRPr="004A5484">
        <w:t>.2</w:t>
      </w:r>
      <w:r w:rsidR="00FB1C13" w:rsidRPr="004A5484">
        <w:tab/>
        <w:t>Safety and nutritional content of irradiated foods</w:t>
      </w:r>
      <w:bookmarkEnd w:id="150"/>
      <w:bookmarkEnd w:id="151"/>
      <w:bookmarkEnd w:id="152"/>
      <w:bookmarkEnd w:id="153"/>
      <w:bookmarkEnd w:id="154"/>
      <w:bookmarkEnd w:id="155"/>
      <w:bookmarkEnd w:id="156"/>
      <w:bookmarkEnd w:id="157"/>
      <w:bookmarkEnd w:id="158"/>
      <w:r w:rsidR="00FB1C13">
        <w:t xml:space="preserve"> </w:t>
      </w:r>
      <w:bookmarkEnd w:id="159"/>
    </w:p>
    <w:p w14:paraId="26DE2B0A" w14:textId="54BEB005" w:rsidR="00FB1C13" w:rsidRDefault="00FB1C13" w:rsidP="00FB1C13">
      <w:pPr>
        <w:widowControl/>
      </w:pPr>
      <w:r>
        <w:t>There are no public health and safety concerns associated with the consumption of fresh fruit and vegetables that have been irradiated at doses of up to 1 kGy. This conclusion is based on the</w:t>
      </w:r>
      <w:r w:rsidR="00FE36BE">
        <w:t xml:space="preserve"> best available</w:t>
      </w:r>
      <w:r w:rsidR="00C15BF3" w:rsidRPr="006843E2">
        <w:rPr>
          <w:lang w:bidi="ar-SA"/>
        </w:rPr>
        <w:t xml:space="preserve"> evidence</w:t>
      </w:r>
      <w:r w:rsidR="00FE36BE">
        <w:rPr>
          <w:lang w:bidi="ar-SA"/>
        </w:rPr>
        <w:t xml:space="preserve"> and</w:t>
      </w:r>
      <w:r w:rsidR="00C15BF3" w:rsidRPr="006843E2">
        <w:rPr>
          <w:lang w:bidi="ar-SA"/>
        </w:rPr>
        <w:t xml:space="preserve"> </w:t>
      </w:r>
      <w:r w:rsidR="000007C9">
        <w:rPr>
          <w:lang w:bidi="ar-SA"/>
        </w:rPr>
        <w:t xml:space="preserve">includes </w:t>
      </w:r>
      <w:r w:rsidR="00C15BF3">
        <w:rPr>
          <w:lang w:bidi="ar-SA"/>
        </w:rPr>
        <w:t>the</w:t>
      </w:r>
      <w:r>
        <w:t xml:space="preserve"> following considerations:</w:t>
      </w:r>
    </w:p>
    <w:p w14:paraId="3425F254" w14:textId="77777777" w:rsidR="00FB1C13" w:rsidRDefault="00FB1C13" w:rsidP="00FB1C13"/>
    <w:p w14:paraId="2ECE563C" w14:textId="4D537438" w:rsidR="00FB1C13" w:rsidRDefault="00FB1C13" w:rsidP="00E01B62">
      <w:pPr>
        <w:pStyle w:val="ListParagraph"/>
        <w:numPr>
          <w:ilvl w:val="0"/>
          <w:numId w:val="5"/>
        </w:numPr>
        <w:ind w:left="567" w:hanging="567"/>
        <w:rPr>
          <w:lang w:bidi="ar-SA"/>
        </w:rPr>
      </w:pPr>
      <w:r>
        <w:rPr>
          <w:rFonts w:cs="Arial"/>
          <w:lang w:bidi="ar-SA"/>
        </w:rPr>
        <w:t>Radiolytic compounds generated through food irradiation are not produced at levels that are likely to result in harm. The levels of these compounds are generally comparable to those naturally present in cooked food.</w:t>
      </w:r>
    </w:p>
    <w:p w14:paraId="3CCF0DD8" w14:textId="77777777" w:rsidR="00FB1C13" w:rsidRDefault="00FB1C13" w:rsidP="00FB1C13">
      <w:pPr>
        <w:pStyle w:val="ListParagraph"/>
        <w:ind w:left="567"/>
        <w:rPr>
          <w:lang w:bidi="ar-SA"/>
        </w:rPr>
      </w:pPr>
    </w:p>
    <w:p w14:paraId="6E52ED56" w14:textId="77777777" w:rsidR="00FB1C13" w:rsidRDefault="00FB1C13" w:rsidP="00E01B62">
      <w:pPr>
        <w:pStyle w:val="FSBullet1"/>
        <w:numPr>
          <w:ilvl w:val="0"/>
          <w:numId w:val="5"/>
        </w:numPr>
        <w:ind w:left="567" w:hanging="567"/>
      </w:pPr>
      <w:r>
        <w:t xml:space="preserve">There is no evidence to indicate that phytosanitary irradiation at the proposed doses would increase the allergenicity of food, or increase the toxicity associated with any mycotoxin contamination. </w:t>
      </w:r>
    </w:p>
    <w:p w14:paraId="4ED941E3" w14:textId="06FD01CA" w:rsidR="0036205F" w:rsidRPr="0036205F" w:rsidRDefault="0036205F" w:rsidP="00E935FF"/>
    <w:p w14:paraId="5C4E61FE" w14:textId="4AD32F16" w:rsidR="0036205F" w:rsidRPr="0036205F" w:rsidRDefault="00FB5BB2" w:rsidP="00E01B62">
      <w:pPr>
        <w:pStyle w:val="FSBullet1"/>
        <w:numPr>
          <w:ilvl w:val="0"/>
          <w:numId w:val="5"/>
        </w:numPr>
        <w:ind w:left="567" w:right="-286" w:hanging="567"/>
      </w:pPr>
      <w:r>
        <w:t xml:space="preserve">FSANZ considers that based on the </w:t>
      </w:r>
      <w:r w:rsidR="00FA53AE">
        <w:t xml:space="preserve">best </w:t>
      </w:r>
      <w:r>
        <w:t xml:space="preserve">available evidence the effect of irradiation on the micronutrient intake from fruit and vegetables is likely to be low. The range of fruit that has been assessed is comprehensive, accounting for most types of fruit consumed in Australia and New Zealand; however, the range of vegetables examined is not as comprehensive. An evaluation by FSANZ showed that for the commodities where nutrient impact data were available, they contributed to </w:t>
      </w:r>
      <w:r w:rsidR="00915DBB">
        <w:t>a large proportion</w:t>
      </w:r>
      <w:r>
        <w:t xml:space="preserve"> of</w:t>
      </w:r>
      <w:r w:rsidR="00915DBB">
        <w:t xml:space="preserve"> the</w:t>
      </w:r>
      <w:r>
        <w:t xml:space="preserve"> dietary intakes from fruits and vegetables, and included the most commonly consumed commodities. While the body of evidence for fruit and vegetables suggests that irradiation-induced losses of micronutrients that are more sensitive to irradiation is small, </w:t>
      </w:r>
      <w:r w:rsidR="00FF621E">
        <w:t xml:space="preserve">some </w:t>
      </w:r>
      <w:r>
        <w:t xml:space="preserve">variability </w:t>
      </w:r>
      <w:r w:rsidR="00FF621E">
        <w:t>and higher losses in nutrient content were observed</w:t>
      </w:r>
      <w:r>
        <w:t xml:space="preserve"> </w:t>
      </w:r>
      <w:r w:rsidR="00FF621E">
        <w:t xml:space="preserve">in </w:t>
      </w:r>
      <w:r>
        <w:t>a few foods.</w:t>
      </w:r>
    </w:p>
    <w:p w14:paraId="33A4EF58" w14:textId="77777777" w:rsidR="00FB1C13" w:rsidRDefault="00FB1C13" w:rsidP="0041343F">
      <w:pPr>
        <w:pStyle w:val="FSBullet1"/>
        <w:numPr>
          <w:ilvl w:val="0"/>
          <w:numId w:val="0"/>
        </w:numPr>
        <w:ind w:left="567" w:right="-286"/>
      </w:pPr>
    </w:p>
    <w:p w14:paraId="429B075A" w14:textId="4777D069" w:rsidR="00C14023" w:rsidRDefault="004720A8" w:rsidP="00C14023">
      <w:pPr>
        <w:pStyle w:val="ListParagraph"/>
        <w:numPr>
          <w:ilvl w:val="0"/>
          <w:numId w:val="24"/>
        </w:numPr>
        <w:ind w:left="567" w:hanging="567"/>
      </w:pPr>
      <w:r>
        <w:t>The few instances of higher losses in nutrient content are not of concern because t</w:t>
      </w:r>
      <w:r w:rsidRPr="009D46FF">
        <w:t xml:space="preserve">here will only be a small proportion of domestically produced </w:t>
      </w:r>
      <w:r w:rsidR="00FA295C">
        <w:t xml:space="preserve">and imported </w:t>
      </w:r>
      <w:r w:rsidRPr="009D46FF">
        <w:t>fruit and vegetables in Australia and New Zealand treated by irradiation, with some commodities not requiring irradiation due to localised consumption and technological reasons. Therefore the dietary intake of nutrients is likely to come from a mix of non-irradiated and a small amount of irradiated produce over the course of a lifetime. This minimises any impact on population nutrient intakes from consuming irradiated produce.</w:t>
      </w:r>
    </w:p>
    <w:p w14:paraId="5A83236F" w14:textId="77777777" w:rsidR="00C14023" w:rsidRDefault="00C14023" w:rsidP="00C14023">
      <w:pPr>
        <w:pStyle w:val="ListParagraph"/>
        <w:ind w:left="567" w:hanging="567"/>
      </w:pPr>
    </w:p>
    <w:p w14:paraId="375A4BC6" w14:textId="6C9C48A0" w:rsidR="007E26D8" w:rsidRDefault="007E26D8" w:rsidP="00C14023">
      <w:pPr>
        <w:pStyle w:val="ListParagraph"/>
        <w:numPr>
          <w:ilvl w:val="0"/>
          <w:numId w:val="24"/>
        </w:numPr>
        <w:ind w:left="567" w:hanging="567"/>
      </w:pPr>
      <w:r>
        <w:t>The drivers for phytosanitary irradiation are biosecurity requirements and trade patterns. Constraints include cost, capacity</w:t>
      </w:r>
      <w:r w:rsidR="004259CE">
        <w:t xml:space="preserve">, consumer acceptance </w:t>
      </w:r>
      <w:r>
        <w:t xml:space="preserve">and supply chain logistics. These factors and the volumes of irradiated fruit and vegetables can be </w:t>
      </w:r>
      <w:r w:rsidR="004259CE">
        <w:t>monitored.</w:t>
      </w:r>
      <w:r w:rsidR="00A67B9C">
        <w:t xml:space="preserve"> If the proportion of irradiated fruit and vegetables increased markedly over time, a revised risk assessment </w:t>
      </w:r>
      <w:r w:rsidR="00635BC2">
        <w:t>c</w:t>
      </w:r>
      <w:r w:rsidR="00A67B9C">
        <w:t xml:space="preserve">ould be conducted to ensure current conclusions remain valid. </w:t>
      </w:r>
    </w:p>
    <w:p w14:paraId="01FAA286" w14:textId="11F5F456" w:rsidR="002C1A3B" w:rsidRPr="00932F14" w:rsidRDefault="0080668C" w:rsidP="0080668C">
      <w:pPr>
        <w:pStyle w:val="Heading1"/>
      </w:pPr>
      <w:bookmarkStart w:id="160" w:name="_Toc65149704"/>
      <w:bookmarkStart w:id="161" w:name="_Toc65507085"/>
      <w:bookmarkStart w:id="162" w:name="_Toc65684150"/>
      <w:bookmarkStart w:id="163" w:name="_Toc71204377"/>
      <w:r>
        <w:t>4</w:t>
      </w:r>
      <w:r w:rsidR="002C1A3B">
        <w:tab/>
        <w:t>Risk management</w:t>
      </w:r>
      <w:bookmarkEnd w:id="122"/>
      <w:bookmarkEnd w:id="123"/>
      <w:bookmarkEnd w:id="160"/>
      <w:bookmarkEnd w:id="161"/>
      <w:bookmarkEnd w:id="162"/>
      <w:bookmarkEnd w:id="163"/>
    </w:p>
    <w:p w14:paraId="1AD7A94C" w14:textId="03B3CD39" w:rsidR="0073462E" w:rsidRDefault="0073462E" w:rsidP="0073462E">
      <w:pPr>
        <w:rPr>
          <w:rFonts w:cs="Arial"/>
        </w:rPr>
      </w:pPr>
      <w:bookmarkStart w:id="164" w:name="_Toc309291814"/>
      <w:bookmarkStart w:id="165" w:name="_Toc370225389"/>
      <w:bookmarkStart w:id="166" w:name="_Toc286391012"/>
      <w:bookmarkEnd w:id="124"/>
      <w:r>
        <w:rPr>
          <w:rFonts w:cs="Arial"/>
        </w:rPr>
        <w:t xml:space="preserve">The Risk and </w:t>
      </w:r>
      <w:r w:rsidR="008D6182">
        <w:rPr>
          <w:rFonts w:cs="Arial"/>
        </w:rPr>
        <w:t>Technical Assessment Report (SD</w:t>
      </w:r>
      <w:r>
        <w:rPr>
          <w:rFonts w:cs="Arial"/>
        </w:rPr>
        <w:t>1) concluded that</w:t>
      </w:r>
      <w:r w:rsidR="00F41C1B">
        <w:rPr>
          <w:rFonts w:cs="Arial"/>
        </w:rPr>
        <w:t xml:space="preserve">, </w:t>
      </w:r>
      <w:r w:rsidR="00333E8E">
        <w:rPr>
          <w:rFonts w:cs="Arial"/>
        </w:rPr>
        <w:t>on the basis of the best available evidence,</w:t>
      </w:r>
      <w:r w:rsidR="00F41C1B">
        <w:rPr>
          <w:rFonts w:cs="Arial"/>
        </w:rPr>
        <w:t xml:space="preserve"> </w:t>
      </w:r>
      <w:r>
        <w:rPr>
          <w:rFonts w:cs="Arial"/>
        </w:rPr>
        <w:t xml:space="preserve">there are no public health and safety concerns associated with </w:t>
      </w:r>
      <w:r w:rsidR="000B692A">
        <w:rPr>
          <w:rFonts w:cs="Arial"/>
        </w:rPr>
        <w:t xml:space="preserve">consuming </w:t>
      </w:r>
      <w:r>
        <w:rPr>
          <w:rFonts w:cs="Arial"/>
        </w:rPr>
        <w:t>fresh fruit and vegetables that have been irradiated at doses of up to 1 kGy. Based on this conclusion and a consideration of other relevant matters</w:t>
      </w:r>
      <w:r w:rsidR="00F1490F">
        <w:rPr>
          <w:rFonts w:cs="Arial"/>
        </w:rPr>
        <w:t xml:space="preserve"> including the submissions received</w:t>
      </w:r>
      <w:r>
        <w:rPr>
          <w:rFonts w:cs="Arial"/>
        </w:rPr>
        <w:t>, FSANZ recommends that the existing permission</w:t>
      </w:r>
      <w:r w:rsidR="00235A93">
        <w:rPr>
          <w:rFonts w:cs="Arial"/>
        </w:rPr>
        <w:t xml:space="preserve"> </w:t>
      </w:r>
      <w:r w:rsidR="000840A7">
        <w:rPr>
          <w:rFonts w:cs="Arial"/>
        </w:rPr>
        <w:t xml:space="preserve">for the irradiation of </w:t>
      </w:r>
      <w:r w:rsidR="00235A93">
        <w:rPr>
          <w:rFonts w:cs="Arial"/>
        </w:rPr>
        <w:t xml:space="preserve">26 fruits and vegetables </w:t>
      </w:r>
      <w:r w:rsidR="000840A7">
        <w:rPr>
          <w:rFonts w:cs="Arial"/>
        </w:rPr>
        <w:t xml:space="preserve">in Standard 1.5.3 of the Code </w:t>
      </w:r>
      <w:r>
        <w:rPr>
          <w:rFonts w:cs="Arial"/>
        </w:rPr>
        <w:t xml:space="preserve">be replaced with a permission </w:t>
      </w:r>
      <w:r w:rsidR="00235A93">
        <w:rPr>
          <w:rFonts w:cs="Arial"/>
        </w:rPr>
        <w:t>for all fresh fruit and vegetables</w:t>
      </w:r>
      <w:r w:rsidR="00684C9D">
        <w:rPr>
          <w:rFonts w:cs="Arial"/>
        </w:rPr>
        <w:t xml:space="preserve"> (with a consequential amendment to Schedule 22)</w:t>
      </w:r>
      <w:r w:rsidR="00235A93">
        <w:rPr>
          <w:rFonts w:cs="Arial"/>
        </w:rPr>
        <w:t>. This is</w:t>
      </w:r>
      <w:r>
        <w:rPr>
          <w:rFonts w:cs="Arial"/>
        </w:rPr>
        <w:t xml:space="preserve"> </w:t>
      </w:r>
      <w:r w:rsidR="00F716E8">
        <w:rPr>
          <w:rFonts w:cs="Arial"/>
        </w:rPr>
        <w:t xml:space="preserve">subject to </w:t>
      </w:r>
      <w:r>
        <w:rPr>
          <w:rFonts w:cs="Arial"/>
        </w:rPr>
        <w:t xml:space="preserve">the following requirements </w:t>
      </w:r>
      <w:r w:rsidR="00F716E8">
        <w:rPr>
          <w:rFonts w:cs="Arial"/>
        </w:rPr>
        <w:t xml:space="preserve">being </w:t>
      </w:r>
      <w:r>
        <w:rPr>
          <w:rFonts w:cs="Arial"/>
        </w:rPr>
        <w:t>met:</w:t>
      </w:r>
    </w:p>
    <w:p w14:paraId="5E869230" w14:textId="77777777" w:rsidR="0073462E" w:rsidRDefault="0073462E" w:rsidP="0073462E">
      <w:pPr>
        <w:rPr>
          <w:rFonts w:cs="Arial"/>
        </w:rPr>
      </w:pPr>
    </w:p>
    <w:p w14:paraId="6BA32383" w14:textId="12F4A68C" w:rsidR="0073462E" w:rsidRDefault="0073462E" w:rsidP="00E01B62">
      <w:pPr>
        <w:pStyle w:val="FSBullet1"/>
        <w:numPr>
          <w:ilvl w:val="0"/>
          <w:numId w:val="6"/>
        </w:numPr>
        <w:ind w:left="426" w:hanging="426"/>
      </w:pPr>
      <w:r>
        <w:t>Irradiation is to be used only for pest disinfestation for a phytosanitary objective.</w:t>
      </w:r>
    </w:p>
    <w:p w14:paraId="6C963DE4" w14:textId="77777777" w:rsidR="0073462E" w:rsidRDefault="0073462E" w:rsidP="0073462E">
      <w:pPr>
        <w:rPr>
          <w:lang w:bidi="ar-SA"/>
        </w:rPr>
      </w:pPr>
    </w:p>
    <w:p w14:paraId="5AD143D8" w14:textId="2467A94B" w:rsidR="0073462E" w:rsidRDefault="0073462E" w:rsidP="00E01B62">
      <w:pPr>
        <w:pStyle w:val="FSBullet1"/>
        <w:numPr>
          <w:ilvl w:val="0"/>
          <w:numId w:val="6"/>
        </w:numPr>
        <w:ind w:left="426" w:hanging="426"/>
      </w:pPr>
      <w:r>
        <w:t xml:space="preserve">Irradiation is </w:t>
      </w:r>
      <w:r w:rsidR="00235A93">
        <w:t>to be</w:t>
      </w:r>
      <w:r>
        <w:t xml:space="preserve"> use</w:t>
      </w:r>
      <w:r w:rsidR="00235A93">
        <w:t>d</w:t>
      </w:r>
      <w:r>
        <w:t xml:space="preserve"> on fresh fruit and vegetables </w:t>
      </w:r>
      <w:r w:rsidR="00235A93">
        <w:t xml:space="preserve">as presently </w:t>
      </w:r>
      <w:r>
        <w:t xml:space="preserve">described in Schedule 22 of the Code, and any other fresh commodity generally understood to be a fruit or vegetable, including crops grown overseas. Commodities that are not permitted under this variation to Standard 1.5.3 include dried pulses </w:t>
      </w:r>
      <w:r>
        <w:lastRenderedPageBreak/>
        <w:t>and legumes (classified as ‘Vegetables’ in Schedule 22), and nuts and seeds. Consistent with the approach taken by other provisions and permissions in the Code, the variation does not define what constitutes ‘fresh’.</w:t>
      </w:r>
    </w:p>
    <w:p w14:paraId="2924A497" w14:textId="77777777" w:rsidR="0073462E" w:rsidRDefault="0073462E" w:rsidP="0073462E">
      <w:pPr>
        <w:rPr>
          <w:lang w:bidi="ar-SA"/>
        </w:rPr>
      </w:pPr>
    </w:p>
    <w:p w14:paraId="7DCAF6A4" w14:textId="5EF44600" w:rsidR="0073462E" w:rsidRDefault="0073462E" w:rsidP="009900AF">
      <w:pPr>
        <w:pStyle w:val="FSBullet1"/>
        <w:ind w:left="426" w:hanging="426"/>
      </w:pPr>
      <w:r>
        <w:t>The permitted dose range remains unchanged i.e. the minimum dose is 150 Gy and the maximum dose is 1 kGy.</w:t>
      </w:r>
      <w:r w:rsidR="00A91389">
        <w:t xml:space="preserve"> </w:t>
      </w:r>
    </w:p>
    <w:p w14:paraId="6E64DDD9" w14:textId="77777777" w:rsidR="0073462E" w:rsidRDefault="0073462E" w:rsidP="0073462E">
      <w:pPr>
        <w:rPr>
          <w:lang w:bidi="ar-SA"/>
        </w:rPr>
      </w:pPr>
    </w:p>
    <w:p w14:paraId="2E9FB9CE" w14:textId="71F4D74C" w:rsidR="0073462E" w:rsidRDefault="0073462E" w:rsidP="00E01B62">
      <w:pPr>
        <w:pStyle w:val="FSBullet1"/>
        <w:numPr>
          <w:ilvl w:val="0"/>
          <w:numId w:val="6"/>
        </w:numPr>
        <w:ind w:left="426" w:hanging="426"/>
      </w:pPr>
      <w:r>
        <w:t xml:space="preserve">The existing mandatory labelling (see Section </w:t>
      </w:r>
      <w:r w:rsidR="00286D18">
        <w:t>4.1</w:t>
      </w:r>
      <w:r>
        <w:t xml:space="preserve">) and record keeping requirements for irradiated foods continue to apply. </w:t>
      </w:r>
    </w:p>
    <w:p w14:paraId="40A7E3EF" w14:textId="77777777" w:rsidR="0073462E" w:rsidRDefault="0073462E" w:rsidP="0073462E">
      <w:pPr>
        <w:ind w:left="426" w:hanging="426"/>
        <w:rPr>
          <w:lang w:bidi="ar-SA"/>
        </w:rPr>
      </w:pPr>
    </w:p>
    <w:p w14:paraId="03E02856" w14:textId="77777777" w:rsidR="0073462E" w:rsidRDefault="0073462E" w:rsidP="0073462E">
      <w:pPr>
        <w:ind w:left="426" w:hanging="426"/>
        <w:rPr>
          <w:lang w:bidi="ar-SA"/>
        </w:rPr>
      </w:pPr>
      <w:r>
        <w:rPr>
          <w:lang w:bidi="ar-SA"/>
        </w:rPr>
        <w:t xml:space="preserve">In recommending this risk management measure, FSANZ notes that: </w:t>
      </w:r>
    </w:p>
    <w:p w14:paraId="49781CEB" w14:textId="77777777" w:rsidR="0073462E" w:rsidRDefault="0073462E" w:rsidP="0073462E">
      <w:pPr>
        <w:rPr>
          <w:lang w:bidi="ar-SA"/>
        </w:rPr>
      </w:pPr>
    </w:p>
    <w:p w14:paraId="293182B6" w14:textId="5CE025CC" w:rsidR="007D7C97" w:rsidRDefault="0073462E" w:rsidP="00E01B62">
      <w:pPr>
        <w:pStyle w:val="ListParagraph"/>
        <w:numPr>
          <w:ilvl w:val="0"/>
          <w:numId w:val="7"/>
        </w:numPr>
        <w:ind w:left="426" w:hanging="426"/>
        <w:rPr>
          <w:lang w:bidi="ar-SA"/>
        </w:rPr>
      </w:pPr>
      <w:r>
        <w:rPr>
          <w:lang w:bidi="ar-SA"/>
        </w:rPr>
        <w:t xml:space="preserve">This permission will apply to fresh fruit and vegetables entering another quarantine region that require a phytosanitary treatment to ensure that they are free from regulated pests. As such, this permission is likely to apply only to </w:t>
      </w:r>
      <w:r w:rsidR="00143A6E">
        <w:rPr>
          <w:lang w:bidi="ar-SA"/>
        </w:rPr>
        <w:t xml:space="preserve">a </w:t>
      </w:r>
      <w:r>
        <w:rPr>
          <w:lang w:bidi="ar-SA"/>
        </w:rPr>
        <w:t xml:space="preserve">proportion of produce available to Australians and New Zealanders that is not grown and consumed in the same quarantine </w:t>
      </w:r>
      <w:r w:rsidR="00143A6E">
        <w:rPr>
          <w:lang w:bidi="ar-SA"/>
        </w:rPr>
        <w:t>region, depending also on its suitability for irradiation and the availability of other treatments.</w:t>
      </w:r>
    </w:p>
    <w:p w14:paraId="608095F7" w14:textId="77777777" w:rsidR="0073462E" w:rsidRDefault="0073462E" w:rsidP="00760463">
      <w:pPr>
        <w:pStyle w:val="ListParagraph"/>
        <w:ind w:left="426" w:hanging="426"/>
        <w:rPr>
          <w:lang w:bidi="ar-SA"/>
        </w:rPr>
      </w:pPr>
    </w:p>
    <w:p w14:paraId="40061054" w14:textId="58D194A4" w:rsidR="0073462E" w:rsidRDefault="0073462E" w:rsidP="00E01B62">
      <w:pPr>
        <w:pStyle w:val="ListParagraph"/>
        <w:numPr>
          <w:ilvl w:val="0"/>
          <w:numId w:val="7"/>
        </w:numPr>
        <w:ind w:left="426" w:hanging="426"/>
        <w:rPr>
          <w:lang w:bidi="ar-SA"/>
        </w:rPr>
      </w:pPr>
      <w:r>
        <w:rPr>
          <w:lang w:bidi="ar-SA"/>
        </w:rPr>
        <w:t>The permission will bring Australia and New Zealand more into line with existing standards and regulations in other parts of the world including the Codex General Standard for Irradiated Foods. This Standard states that irradiation must not be used as a substitute for good hygienic and good manufacturing practices or good agricultural practices.</w:t>
      </w:r>
    </w:p>
    <w:p w14:paraId="43AD3A10" w14:textId="77777777" w:rsidR="0073462E" w:rsidRDefault="0073462E" w:rsidP="00760463">
      <w:pPr>
        <w:pStyle w:val="ListParagraph"/>
        <w:ind w:left="426" w:hanging="426"/>
        <w:rPr>
          <w:lang w:bidi="ar-SA"/>
        </w:rPr>
      </w:pPr>
    </w:p>
    <w:p w14:paraId="67993F97" w14:textId="0709B71B" w:rsidR="0073462E" w:rsidRDefault="0073462E" w:rsidP="00E01B62">
      <w:pPr>
        <w:pStyle w:val="ListParagraph"/>
        <w:numPr>
          <w:ilvl w:val="0"/>
          <w:numId w:val="7"/>
        </w:numPr>
        <w:ind w:left="426" w:hanging="426"/>
        <w:rPr>
          <w:lang w:bidi="ar-SA"/>
        </w:rPr>
      </w:pPr>
      <w:r>
        <w:rPr>
          <w:lang w:bidi="ar-SA"/>
        </w:rPr>
        <w:t xml:space="preserve">Irradiation as </w:t>
      </w:r>
      <w:r w:rsidR="005E5E48">
        <w:rPr>
          <w:lang w:bidi="ar-SA"/>
        </w:rPr>
        <w:t xml:space="preserve">a </w:t>
      </w:r>
      <w:r>
        <w:rPr>
          <w:lang w:bidi="ar-SA"/>
        </w:rPr>
        <w:t xml:space="preserve">phytosanitary measure will </w:t>
      </w:r>
      <w:r w:rsidR="00F4689D">
        <w:rPr>
          <w:lang w:bidi="ar-SA"/>
        </w:rPr>
        <w:t>not be mandatory</w:t>
      </w:r>
      <w:r>
        <w:rPr>
          <w:lang w:bidi="ar-SA"/>
        </w:rPr>
        <w:t xml:space="preserve"> and </w:t>
      </w:r>
      <w:r w:rsidR="005E5E48">
        <w:rPr>
          <w:lang w:bidi="ar-SA"/>
        </w:rPr>
        <w:t xml:space="preserve">is </w:t>
      </w:r>
      <w:r>
        <w:rPr>
          <w:lang w:bidi="ar-SA"/>
        </w:rPr>
        <w:t xml:space="preserve">only one of a number of phytosanitary treatment options available. </w:t>
      </w:r>
    </w:p>
    <w:p w14:paraId="7D298481" w14:textId="77777777" w:rsidR="0073462E" w:rsidRDefault="0073462E" w:rsidP="00760463">
      <w:pPr>
        <w:ind w:left="426" w:hanging="426"/>
        <w:rPr>
          <w:lang w:bidi="ar-SA"/>
        </w:rPr>
      </w:pPr>
    </w:p>
    <w:p w14:paraId="08C46F02" w14:textId="77777777" w:rsidR="00D51E80" w:rsidRDefault="0073462E" w:rsidP="00E01B62">
      <w:pPr>
        <w:pStyle w:val="ListParagraph"/>
        <w:numPr>
          <w:ilvl w:val="0"/>
          <w:numId w:val="9"/>
        </w:numPr>
        <w:spacing w:after="120"/>
        <w:ind w:left="426" w:hanging="426"/>
        <w:contextualSpacing w:val="0"/>
        <w:rPr>
          <w:rFonts w:cs="Arial"/>
        </w:rPr>
      </w:pPr>
      <w:r w:rsidRPr="00337EA2">
        <w:rPr>
          <w:rFonts w:cs="Arial"/>
        </w:rPr>
        <w:t xml:space="preserve">The labelling of irradiated food, as a risk management consideration for this application, is discussed in Section </w:t>
      </w:r>
      <w:r w:rsidR="00311630" w:rsidRPr="00337EA2">
        <w:rPr>
          <w:rFonts w:cs="Arial"/>
        </w:rPr>
        <w:t>4.</w:t>
      </w:r>
      <w:r w:rsidRPr="00337EA2">
        <w:rPr>
          <w:rFonts w:cs="Arial"/>
        </w:rPr>
        <w:t xml:space="preserve">1 below. </w:t>
      </w:r>
    </w:p>
    <w:p w14:paraId="5FE231EB" w14:textId="514F5F06" w:rsidR="00A67464" w:rsidRDefault="007E230D" w:rsidP="00537282">
      <w:pPr>
        <w:pStyle w:val="ListParagraph"/>
        <w:numPr>
          <w:ilvl w:val="0"/>
          <w:numId w:val="9"/>
        </w:numPr>
        <w:spacing w:after="120"/>
        <w:ind w:left="426" w:hanging="426"/>
        <w:contextualSpacing w:val="0"/>
      </w:pPr>
      <w:r>
        <w:t xml:space="preserve">The nutrition risk assessment concluded that the irradiation of fruit and vegetables would have minimal impact on population nutrient intakes, </w:t>
      </w:r>
      <w:r w:rsidR="009919A8">
        <w:t xml:space="preserve">and these conclusions are valid in the context of the </w:t>
      </w:r>
      <w:r w:rsidR="00272824">
        <w:t>small proportion of fresh produce likely to be treated.</w:t>
      </w:r>
      <w:r w:rsidR="00E30954">
        <w:t xml:space="preserve"> </w:t>
      </w:r>
      <w:r w:rsidR="00E30954" w:rsidRPr="00E30954">
        <w:t>A statutory mechanism exists by which permissions in the Code can be formally reviewed and amended by FSANZ should credible new information arise suggesting that a food standard may no longer be appropriate. This could be in relation to public health and safety, labelling or enforcement concerns. FSANZ has a strong track record of reviewing existing standards in this manner. It is not possible to pre-empt the likelihood or timing of any future reassessment of irradiated food only to state that it can be undertaken if necessary</w:t>
      </w:r>
      <w:r w:rsidR="00A67464" w:rsidRPr="00A460C9">
        <w:t>.</w:t>
      </w:r>
      <w:r w:rsidR="00A67464">
        <w:t xml:space="preserve"> </w:t>
      </w:r>
    </w:p>
    <w:p w14:paraId="3FB1C1C1" w14:textId="42396A0E" w:rsidR="00A67464" w:rsidRPr="00A67464" w:rsidRDefault="00D51E80" w:rsidP="00A67464">
      <w:pPr>
        <w:pStyle w:val="ListParagraph"/>
        <w:numPr>
          <w:ilvl w:val="0"/>
          <w:numId w:val="9"/>
        </w:numPr>
        <w:spacing w:after="120"/>
        <w:ind w:left="426" w:hanging="426"/>
        <w:contextualSpacing w:val="0"/>
      </w:pPr>
      <w:r w:rsidRPr="00A67464">
        <w:rPr>
          <w:rFonts w:cs="Arial"/>
        </w:rPr>
        <w:t>Matters</w:t>
      </w:r>
      <w:r w:rsidR="0073462E" w:rsidRPr="00A67464">
        <w:rPr>
          <w:rFonts w:cs="Arial"/>
        </w:rPr>
        <w:t xml:space="preserve"> concerning minimising the risks of human exposure to unsafe levels of radiation</w:t>
      </w:r>
      <w:r w:rsidR="00B9210F" w:rsidRPr="00A67464">
        <w:rPr>
          <w:rFonts w:cs="Arial"/>
        </w:rPr>
        <w:t xml:space="preserve"> generally, </w:t>
      </w:r>
      <w:r w:rsidR="0073462E" w:rsidRPr="00A67464">
        <w:rPr>
          <w:rFonts w:cs="Arial"/>
        </w:rPr>
        <w:t xml:space="preserve">potential risks to the environment, and occupational health and safety risks to workers, are outside FSANZ’s statutory </w:t>
      </w:r>
      <w:r w:rsidRPr="00A67464">
        <w:rPr>
          <w:rFonts w:cs="Arial"/>
        </w:rPr>
        <w:t>remit</w:t>
      </w:r>
      <w:r w:rsidR="0073462E" w:rsidRPr="00A67464">
        <w:rPr>
          <w:rFonts w:cs="Arial"/>
        </w:rPr>
        <w:t xml:space="preserve">. These </w:t>
      </w:r>
      <w:r w:rsidRPr="00A67464">
        <w:rPr>
          <w:rFonts w:cs="Arial"/>
        </w:rPr>
        <w:t>risks are managed</w:t>
      </w:r>
      <w:r w:rsidR="0073462E" w:rsidRPr="00A67464">
        <w:rPr>
          <w:rFonts w:cs="Arial"/>
        </w:rPr>
        <w:t xml:space="preserve"> by </w:t>
      </w:r>
      <w:r w:rsidRPr="00A67464">
        <w:rPr>
          <w:rFonts w:cs="Arial"/>
        </w:rPr>
        <w:t xml:space="preserve">or under </w:t>
      </w:r>
      <w:r w:rsidR="0073462E" w:rsidRPr="00A67464">
        <w:rPr>
          <w:rFonts w:cs="Arial"/>
        </w:rPr>
        <w:t xml:space="preserve">different legislation such </w:t>
      </w:r>
      <w:r w:rsidR="007C7E29" w:rsidRPr="00A67464">
        <w:rPr>
          <w:rFonts w:cs="Arial"/>
        </w:rPr>
        <w:t xml:space="preserve">as </w:t>
      </w:r>
      <w:r w:rsidRPr="00A67464">
        <w:rPr>
          <w:rFonts w:cs="Arial"/>
        </w:rPr>
        <w:t>that relating to the</w:t>
      </w:r>
      <w:r w:rsidR="0073462E" w:rsidRPr="00A67464">
        <w:rPr>
          <w:rFonts w:cs="Arial"/>
        </w:rPr>
        <w:t xml:space="preserve"> </w:t>
      </w:r>
      <w:r w:rsidRPr="00A67464">
        <w:rPr>
          <w:rFonts w:cs="Arial"/>
        </w:rPr>
        <w:t>granting, management and oversight of</w:t>
      </w:r>
      <w:r w:rsidR="0073462E" w:rsidRPr="00A67464">
        <w:rPr>
          <w:rFonts w:cs="Arial"/>
        </w:rPr>
        <w:t xml:space="preserve"> radiation licence</w:t>
      </w:r>
      <w:r w:rsidRPr="00A67464">
        <w:rPr>
          <w:rFonts w:cs="Arial"/>
        </w:rPr>
        <w:t>s</w:t>
      </w:r>
      <w:r w:rsidR="0073462E" w:rsidRPr="00A67464">
        <w:rPr>
          <w:rFonts w:cs="Arial"/>
        </w:rPr>
        <w:t>.</w:t>
      </w:r>
      <w:r w:rsidR="0073462E" w:rsidRPr="00337EA2">
        <w:rPr>
          <w:rFonts w:cs="Arial"/>
        </w:rPr>
        <w:t xml:space="preserve"> </w:t>
      </w:r>
    </w:p>
    <w:p w14:paraId="29C3CAFF" w14:textId="56FAEBA2" w:rsidR="0073462E" w:rsidRPr="00235A93" w:rsidRDefault="0080668C" w:rsidP="0080668C">
      <w:pPr>
        <w:pStyle w:val="Heading2"/>
      </w:pPr>
      <w:bookmarkStart w:id="167" w:name="_Toc54771266"/>
      <w:bookmarkStart w:id="168" w:name="_Toc51670627"/>
      <w:bookmarkStart w:id="169" w:name="_Toc51149155"/>
      <w:bookmarkStart w:id="170" w:name="_Toc451242033"/>
      <w:bookmarkStart w:id="171" w:name="_Toc65149705"/>
      <w:bookmarkStart w:id="172" w:name="_Toc65507086"/>
      <w:bookmarkStart w:id="173" w:name="_Toc65684151"/>
      <w:bookmarkStart w:id="174" w:name="_Toc71204378"/>
      <w:r>
        <w:t>4</w:t>
      </w:r>
      <w:r w:rsidR="0073462E" w:rsidRPr="00235A93">
        <w:t>.1</w:t>
      </w:r>
      <w:r w:rsidR="0073462E" w:rsidRPr="00235A93">
        <w:tab/>
        <w:t>Labelling of irradiated food</w:t>
      </w:r>
      <w:bookmarkEnd w:id="167"/>
      <w:bookmarkEnd w:id="168"/>
      <w:bookmarkEnd w:id="169"/>
      <w:bookmarkEnd w:id="170"/>
      <w:bookmarkEnd w:id="171"/>
      <w:bookmarkEnd w:id="172"/>
      <w:bookmarkEnd w:id="173"/>
      <w:bookmarkEnd w:id="174"/>
    </w:p>
    <w:p w14:paraId="574F691C" w14:textId="37E526DE" w:rsidR="0073462E" w:rsidRDefault="0073462E" w:rsidP="0073462E">
      <w:pPr>
        <w:widowControl/>
      </w:pPr>
      <w:r>
        <w:t>The existing requirement for mandatory labelling of irradiated foods at section 1.5.3—9 of the Code will apply to fruit or vegetables permitted to be irradiated as a result of this application.</w:t>
      </w:r>
    </w:p>
    <w:p w14:paraId="1C803429" w14:textId="77777777" w:rsidR="0073462E" w:rsidRDefault="0073462E" w:rsidP="0073462E">
      <w:pPr>
        <w:widowControl/>
      </w:pPr>
    </w:p>
    <w:p w14:paraId="7D5DCC54" w14:textId="420CF092" w:rsidR="0073462E" w:rsidRDefault="0073462E" w:rsidP="0073462E">
      <w:pPr>
        <w:widowControl/>
      </w:pPr>
      <w:r>
        <w:t xml:space="preserve">Section 1.5.3—9 requires that if the food has been irradiated, </w:t>
      </w:r>
      <w:r w:rsidR="00921FD5">
        <w:t xml:space="preserve">a statement to the effect that the food has been treated with ionising radiation is required. Similarly, if the food has as an ingredient or component a food that has been irradiated, a statement to the effect that the ingredient or component has been treated with ionising radiation is required. When an irradiated ingredient or component is used in a packaged food, the statement may be </w:t>
      </w:r>
      <w:r w:rsidR="003218E1">
        <w:t>i</w:t>
      </w:r>
      <w:r w:rsidR="00921FD5">
        <w:t xml:space="preserve">n the statement of ingredients or elsewhere on the label. </w:t>
      </w:r>
    </w:p>
    <w:p w14:paraId="12749EA4" w14:textId="77777777" w:rsidR="0073462E" w:rsidRDefault="0073462E" w:rsidP="0073462E">
      <w:pPr>
        <w:widowControl/>
      </w:pPr>
    </w:p>
    <w:p w14:paraId="4E818DE2" w14:textId="46CB7E8E" w:rsidR="001F30C0" w:rsidRPr="0020052F" w:rsidRDefault="001F30C0" w:rsidP="001F30C0">
      <w:r w:rsidRPr="0020052F">
        <w:t>The wording of the mandatory statement is not prescribed. Food suppliers and manufacturers can decide how to word the statement as long as it indicates that the food has been treated with ionising radiation.</w:t>
      </w:r>
      <w:r w:rsidR="00A51F62">
        <w:t xml:space="preserve"> </w:t>
      </w:r>
      <w:r w:rsidR="00A979C3">
        <w:t>G</w:t>
      </w:r>
      <w:r w:rsidR="00BC18E2">
        <w:t>eneric</w:t>
      </w:r>
      <w:r w:rsidR="00A51F62">
        <w:t xml:space="preserve"> legibility requirements will apply, which </w:t>
      </w:r>
      <w:r w:rsidR="00BC18E2">
        <w:t>require</w:t>
      </w:r>
      <w:r w:rsidR="00A51F62">
        <w:t xml:space="preserve"> </w:t>
      </w:r>
      <w:r w:rsidR="009D5E36">
        <w:t xml:space="preserve">statements on a label </w:t>
      </w:r>
      <w:r w:rsidR="00BC18E2">
        <w:t xml:space="preserve">to </w:t>
      </w:r>
      <w:r w:rsidR="009D5E36">
        <w:t xml:space="preserve">be legible and </w:t>
      </w:r>
      <w:r w:rsidR="009D5E36" w:rsidRPr="0069118F">
        <w:t>prominent so as to contrast distinctly with the background</w:t>
      </w:r>
      <w:r w:rsidR="00BC18E2">
        <w:t xml:space="preserve"> (section 1.2.1—24)</w:t>
      </w:r>
      <w:r w:rsidR="009D5E36">
        <w:t>.</w:t>
      </w:r>
    </w:p>
    <w:p w14:paraId="760E6D8C" w14:textId="77777777" w:rsidR="001F30C0" w:rsidRDefault="001F30C0" w:rsidP="0073462E">
      <w:pPr>
        <w:widowControl/>
      </w:pPr>
    </w:p>
    <w:p w14:paraId="1EF6B141" w14:textId="47467BF6" w:rsidR="0073462E" w:rsidRDefault="0073462E" w:rsidP="0073462E">
      <w:pPr>
        <w:widowControl/>
        <w:rPr>
          <w:color w:val="A6A6A6" w:themeColor="background1" w:themeShade="A6"/>
        </w:rPr>
      </w:pPr>
      <w:r>
        <w:t>If</w:t>
      </w:r>
      <w:r>
        <w:rPr>
          <w:bCs/>
        </w:rPr>
        <w:t xml:space="preserve"> an irradiated food or a food containing an irradiated ingredient or component is exempt from bearing a label (e.g. unpackaged fruit or vegetables</w:t>
      </w:r>
      <w:r w:rsidR="00E648C8">
        <w:rPr>
          <w:bCs/>
        </w:rPr>
        <w:t xml:space="preserve"> or </w:t>
      </w:r>
      <w:r w:rsidR="00921FD5">
        <w:rPr>
          <w:bCs/>
        </w:rPr>
        <w:t>food sold in a restaurant</w:t>
      </w:r>
      <w:r>
        <w:rPr>
          <w:bCs/>
        </w:rPr>
        <w:t xml:space="preserve">) then section 1.2.1—9 of the Code requires that the statement accompany the food or be displayed in connection with the display of the food. </w:t>
      </w:r>
    </w:p>
    <w:p w14:paraId="78FABC83" w14:textId="77777777" w:rsidR="0073462E" w:rsidRDefault="0073462E" w:rsidP="0073462E">
      <w:pPr>
        <w:rPr>
          <w:rFonts w:cs="Arial"/>
        </w:rPr>
      </w:pPr>
    </w:p>
    <w:p w14:paraId="467AA9EE" w14:textId="311CF4F8" w:rsidR="00921FD5" w:rsidRDefault="001F30C0" w:rsidP="0073462E">
      <w:r>
        <w:t>Food sold to caterers is required to have labelling information relating to irradiated food. This information must be on the label of the food required to bear a label</w:t>
      </w:r>
      <w:r w:rsidR="00BC18E2">
        <w:t xml:space="preserve"> (section 1.2.1—15)</w:t>
      </w:r>
      <w:r>
        <w:t>, or provided to the caterer with the food if the food sold is not required to bear a label</w:t>
      </w:r>
      <w:r w:rsidR="00BC18E2">
        <w:t xml:space="preserve"> (section 1.2.1—13)</w:t>
      </w:r>
      <w:r>
        <w:t xml:space="preserve">. </w:t>
      </w:r>
    </w:p>
    <w:p w14:paraId="3B3D1CAC" w14:textId="77777777" w:rsidR="00921FD5" w:rsidRDefault="00921FD5" w:rsidP="0073462E"/>
    <w:p w14:paraId="461EECBE" w14:textId="59058217" w:rsidR="0073462E" w:rsidRDefault="0073462E" w:rsidP="0073462E">
      <w:r>
        <w:t>The Radura symbol (</w:t>
      </w:r>
      <w:r w:rsidR="00E648C8">
        <w:t xml:space="preserve">depicted in Figure 1 </w:t>
      </w:r>
      <w:r>
        <w:t xml:space="preserve">below) </w:t>
      </w:r>
      <w:r>
        <w:rPr>
          <w:szCs w:val="18"/>
        </w:rPr>
        <w:t>is</w:t>
      </w:r>
      <w:r w:rsidR="005373B3">
        <w:rPr>
          <w:szCs w:val="18"/>
        </w:rPr>
        <w:t xml:space="preserve"> described in the</w:t>
      </w:r>
      <w:r>
        <w:rPr>
          <w:szCs w:val="18"/>
        </w:rPr>
        <w:t xml:space="preserve"> </w:t>
      </w:r>
      <w:r w:rsidR="005373B3">
        <w:rPr>
          <w:szCs w:val="18"/>
        </w:rPr>
        <w:t xml:space="preserve">Codex Standard (CXS 1-1985) as </w:t>
      </w:r>
      <w:r>
        <w:rPr>
          <w:szCs w:val="18"/>
        </w:rPr>
        <w:t>a</w:t>
      </w:r>
      <w:r w:rsidR="005373B3">
        <w:rPr>
          <w:szCs w:val="18"/>
        </w:rPr>
        <w:t>n</w:t>
      </w:r>
      <w:r>
        <w:rPr>
          <w:szCs w:val="18"/>
        </w:rPr>
        <w:t xml:space="preserve"> international </w:t>
      </w:r>
      <w:r w:rsidR="005373B3">
        <w:rPr>
          <w:szCs w:val="18"/>
        </w:rPr>
        <w:t xml:space="preserve">food irradiation </w:t>
      </w:r>
      <w:r>
        <w:rPr>
          <w:szCs w:val="18"/>
        </w:rPr>
        <w:t>symbol</w:t>
      </w:r>
      <w:r w:rsidR="000A5B0E">
        <w:rPr>
          <w:szCs w:val="18"/>
        </w:rPr>
        <w:t xml:space="preserve"> for optional use on food labels. Codex specifies that when the Radura symbol is used, it shall be in close proximity to the name of the food </w:t>
      </w:r>
      <w:r w:rsidR="001F30C0">
        <w:rPr>
          <w:szCs w:val="18"/>
        </w:rPr>
        <w:t>(refer to Section 1.4 of this report)</w:t>
      </w:r>
      <w:r>
        <w:t>. The Code does not mandate the display of this symbol on the labels of irradiated food</w:t>
      </w:r>
      <w:r w:rsidR="001F30C0">
        <w:t>, h</w:t>
      </w:r>
      <w:r>
        <w:t>owever</w:t>
      </w:r>
      <w:r w:rsidR="001F30C0">
        <w:t xml:space="preserve"> </w:t>
      </w:r>
      <w:r>
        <w:t xml:space="preserve">there </w:t>
      </w:r>
      <w:r w:rsidR="001F30C0">
        <w:t xml:space="preserve">is no prohibition on </w:t>
      </w:r>
      <w:r>
        <w:t>its voluntary use. Even i</w:t>
      </w:r>
      <w:r>
        <w:rPr>
          <w:szCs w:val="18"/>
        </w:rPr>
        <w:t xml:space="preserve">f the symbol is </w:t>
      </w:r>
      <w:r w:rsidR="005373B3">
        <w:rPr>
          <w:szCs w:val="18"/>
        </w:rPr>
        <w:t xml:space="preserve">used, </w:t>
      </w:r>
      <w:r>
        <w:rPr>
          <w:szCs w:val="18"/>
        </w:rPr>
        <w:t>the food label</w:t>
      </w:r>
      <w:r w:rsidR="005373B3">
        <w:rPr>
          <w:szCs w:val="18"/>
        </w:rPr>
        <w:t xml:space="preserve"> </w:t>
      </w:r>
      <w:r>
        <w:t>must still display the mandatory labelling requirements for irradiated foods.</w:t>
      </w:r>
    </w:p>
    <w:p w14:paraId="2B6D184E" w14:textId="77777777" w:rsidR="0073462E" w:rsidRDefault="0073462E" w:rsidP="0073462E">
      <w:pPr>
        <w:widowControl/>
        <w:jc w:val="center"/>
      </w:pPr>
    </w:p>
    <w:p w14:paraId="134A35AA" w14:textId="30B70AA2" w:rsidR="0073462E" w:rsidRDefault="0073462E" w:rsidP="0073462E">
      <w:pPr>
        <w:widowControl/>
        <w:jc w:val="center"/>
      </w:pPr>
      <w:r>
        <w:rPr>
          <w:rFonts w:cs="Arial"/>
          <w:noProof/>
          <w:lang w:eastAsia="en-GB" w:bidi="ar-SA"/>
        </w:rPr>
        <w:drawing>
          <wp:inline distT="0" distB="0" distL="0" distR="0" wp14:anchorId="5153E727" wp14:editId="5CC5F0E3">
            <wp:extent cx="1113790" cy="1140460"/>
            <wp:effectExtent l="0" t="0" r="0" b="2540"/>
            <wp:docPr id="3" name="Picture 3" descr="http://upload.wikimedia.org/wikipedia/en/thumb/0/0c/Radura_international.svg/150px-Radura_internationa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en/thumb/0/0c/Radura_international.svg/150px-Radura_international.svg.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13790" cy="1140460"/>
                    </a:xfrm>
                    <a:prstGeom prst="rect">
                      <a:avLst/>
                    </a:prstGeom>
                    <a:noFill/>
                    <a:ln>
                      <a:noFill/>
                    </a:ln>
                  </pic:spPr>
                </pic:pic>
              </a:graphicData>
            </a:graphic>
          </wp:inline>
        </w:drawing>
      </w:r>
    </w:p>
    <w:p w14:paraId="6FD7B469" w14:textId="77777777" w:rsidR="004553FE" w:rsidRDefault="004553FE" w:rsidP="0073462E">
      <w:pPr>
        <w:jc w:val="center"/>
        <w:rPr>
          <w:b/>
          <w:i/>
        </w:rPr>
      </w:pPr>
    </w:p>
    <w:p w14:paraId="20F97F9E" w14:textId="726D8D6E" w:rsidR="0073462E" w:rsidRDefault="0073462E" w:rsidP="0073462E">
      <w:pPr>
        <w:jc w:val="center"/>
        <w:rPr>
          <w:i/>
        </w:rPr>
      </w:pPr>
      <w:r>
        <w:rPr>
          <w:b/>
          <w:i/>
        </w:rPr>
        <w:t>Figure 1</w:t>
      </w:r>
      <w:r>
        <w:rPr>
          <w:i/>
        </w:rPr>
        <w:tab/>
        <w:t>The Radura symbol</w:t>
      </w:r>
    </w:p>
    <w:p w14:paraId="1EA1A778" w14:textId="51792FE7" w:rsidR="0073462E" w:rsidRDefault="0080668C" w:rsidP="0080668C">
      <w:pPr>
        <w:pStyle w:val="Heading2"/>
      </w:pPr>
      <w:bookmarkStart w:id="175" w:name="_Toc54771267"/>
      <w:bookmarkStart w:id="176" w:name="_Toc51670628"/>
      <w:bookmarkStart w:id="177" w:name="_Toc51149156"/>
      <w:bookmarkStart w:id="178" w:name="_Toc479146890"/>
      <w:bookmarkStart w:id="179" w:name="_Toc486000626"/>
      <w:bookmarkStart w:id="180" w:name="_Toc505939268"/>
      <w:bookmarkStart w:id="181" w:name="_Toc28004037"/>
      <w:bookmarkStart w:id="182" w:name="_Toc65149706"/>
      <w:bookmarkStart w:id="183" w:name="_Toc65507087"/>
      <w:bookmarkStart w:id="184" w:name="_Toc65684152"/>
      <w:bookmarkStart w:id="185" w:name="_Toc71204379"/>
      <w:r>
        <w:t>4</w:t>
      </w:r>
      <w:r w:rsidR="0073462E" w:rsidRPr="00235A93">
        <w:t>.2</w:t>
      </w:r>
      <w:r w:rsidR="0073462E" w:rsidRPr="00235A93">
        <w:tab/>
        <w:t>Risk management conclusion</w:t>
      </w:r>
      <w:bookmarkEnd w:id="175"/>
      <w:bookmarkEnd w:id="176"/>
      <w:bookmarkEnd w:id="177"/>
      <w:bookmarkEnd w:id="178"/>
      <w:bookmarkEnd w:id="179"/>
      <w:bookmarkEnd w:id="180"/>
      <w:bookmarkEnd w:id="181"/>
      <w:bookmarkEnd w:id="182"/>
      <w:bookmarkEnd w:id="183"/>
      <w:bookmarkEnd w:id="184"/>
      <w:bookmarkEnd w:id="185"/>
    </w:p>
    <w:p w14:paraId="758DB2E8" w14:textId="37502CBC" w:rsidR="00760463" w:rsidRPr="00760463" w:rsidRDefault="00760463" w:rsidP="00760463">
      <w:pPr>
        <w:widowControl/>
        <w:rPr>
          <w:lang w:val="en-AU"/>
        </w:rPr>
      </w:pPr>
      <w:r w:rsidRPr="00760463">
        <w:rPr>
          <w:lang w:val="en-AU"/>
        </w:rPr>
        <w:t xml:space="preserve">Following consideration of the evidence and FSANZ Act assessment requirements (refer to </w:t>
      </w:r>
      <w:r>
        <w:rPr>
          <w:lang w:val="en-AU"/>
        </w:rPr>
        <w:t>S</w:t>
      </w:r>
      <w:r w:rsidRPr="00760463">
        <w:rPr>
          <w:lang w:val="en-AU"/>
        </w:rPr>
        <w:t>ections 3 and 6), including issues r</w:t>
      </w:r>
      <w:r>
        <w:rPr>
          <w:lang w:val="en-AU"/>
        </w:rPr>
        <w:t>aised in submissions (refer to S</w:t>
      </w:r>
      <w:r w:rsidRPr="00760463">
        <w:rPr>
          <w:lang w:val="en-AU"/>
        </w:rPr>
        <w:t>ection 2), FSANZ’s decision is to permit the irradiation of fresh fruit and vegetables for phytosanitary purposes. The permitted dose range of 150 Gy to 1 kGy will remain unchanged, as will the existing mandatory labelling and record keeping requirements for irradiated foods.</w:t>
      </w:r>
    </w:p>
    <w:p w14:paraId="483713E8" w14:textId="3301F83B" w:rsidR="002C1A3B" w:rsidRPr="008C301D" w:rsidRDefault="0080668C" w:rsidP="0080668C">
      <w:pPr>
        <w:pStyle w:val="Heading1"/>
      </w:pPr>
      <w:bookmarkStart w:id="186" w:name="_Toc65149707"/>
      <w:bookmarkStart w:id="187" w:name="_Toc65507088"/>
      <w:bookmarkStart w:id="188" w:name="_Toc65684153"/>
      <w:bookmarkStart w:id="189" w:name="_Toc71204380"/>
      <w:r>
        <w:t>5</w:t>
      </w:r>
      <w:r w:rsidR="002C1A3B" w:rsidRPr="008C301D">
        <w:tab/>
        <w:t>Risk communication</w:t>
      </w:r>
      <w:bookmarkEnd w:id="164"/>
      <w:bookmarkEnd w:id="165"/>
      <w:bookmarkEnd w:id="186"/>
      <w:bookmarkEnd w:id="187"/>
      <w:bookmarkEnd w:id="188"/>
      <w:bookmarkEnd w:id="189"/>
      <w:r w:rsidR="002C1A3B" w:rsidRPr="008C301D">
        <w:t xml:space="preserve"> </w:t>
      </w:r>
    </w:p>
    <w:p w14:paraId="0403777A" w14:textId="3888EFFB" w:rsidR="002C1A3B" w:rsidRPr="000840A7" w:rsidRDefault="0080668C" w:rsidP="0080668C">
      <w:pPr>
        <w:pStyle w:val="Heading2"/>
      </w:pPr>
      <w:bookmarkStart w:id="190" w:name="_Toc300933437"/>
      <w:bookmarkStart w:id="191" w:name="_Toc370223475"/>
      <w:bookmarkStart w:id="192" w:name="_Toc370225390"/>
      <w:bookmarkStart w:id="193" w:name="_Toc65149708"/>
      <w:bookmarkStart w:id="194" w:name="_Toc65507089"/>
      <w:bookmarkStart w:id="195" w:name="_Toc65684154"/>
      <w:bookmarkStart w:id="196" w:name="_Toc71204381"/>
      <w:r>
        <w:t>5</w:t>
      </w:r>
      <w:r w:rsidR="002C1A3B" w:rsidRPr="000840A7">
        <w:t>.1</w:t>
      </w:r>
      <w:r w:rsidR="002C1A3B" w:rsidRPr="000840A7">
        <w:tab/>
        <w:t>Consultation</w:t>
      </w:r>
      <w:bookmarkEnd w:id="190"/>
      <w:bookmarkEnd w:id="191"/>
      <w:bookmarkEnd w:id="192"/>
      <w:bookmarkEnd w:id="193"/>
      <w:bookmarkEnd w:id="194"/>
      <w:bookmarkEnd w:id="195"/>
      <w:bookmarkEnd w:id="196"/>
    </w:p>
    <w:p w14:paraId="7C44B08F" w14:textId="4CFF64CE" w:rsidR="000840A7" w:rsidRPr="000840A7" w:rsidRDefault="002C1A3B" w:rsidP="000840A7">
      <w:pPr>
        <w:rPr>
          <w:szCs w:val="22"/>
        </w:rPr>
      </w:pPr>
      <w:r w:rsidRPr="00A670A7">
        <w:rPr>
          <w:szCs w:val="22"/>
        </w:rPr>
        <w:t xml:space="preserve">Consultation is a key part of FSANZ’s standards development process. </w:t>
      </w:r>
      <w:r w:rsidR="000840A7" w:rsidRPr="000840A7">
        <w:rPr>
          <w:szCs w:val="22"/>
        </w:rPr>
        <w:t xml:space="preserve">FSANZ developed and applied a communication strategy </w:t>
      </w:r>
      <w:r w:rsidR="000840A7">
        <w:rPr>
          <w:szCs w:val="22"/>
        </w:rPr>
        <w:t xml:space="preserve">that was appropriate to ensure that all interested parties, including the relevant Commonwealth, New Zealand, and state/territory-based government agencies, </w:t>
      </w:r>
      <w:r w:rsidR="004E5915">
        <w:rPr>
          <w:szCs w:val="22"/>
        </w:rPr>
        <w:t xml:space="preserve">the </w:t>
      </w:r>
      <w:r w:rsidR="000840A7">
        <w:rPr>
          <w:szCs w:val="22"/>
        </w:rPr>
        <w:t xml:space="preserve">horticultural industry, exporters and importers, and </w:t>
      </w:r>
      <w:r w:rsidR="004E5915">
        <w:rPr>
          <w:szCs w:val="22"/>
        </w:rPr>
        <w:t xml:space="preserve">members of the </w:t>
      </w:r>
      <w:r w:rsidR="000840A7">
        <w:rPr>
          <w:szCs w:val="22"/>
        </w:rPr>
        <w:t xml:space="preserve">public, </w:t>
      </w:r>
      <w:r w:rsidR="0064223C">
        <w:rPr>
          <w:szCs w:val="22"/>
        </w:rPr>
        <w:t xml:space="preserve">were </w:t>
      </w:r>
      <w:r w:rsidR="000840A7">
        <w:rPr>
          <w:szCs w:val="22"/>
        </w:rPr>
        <w:t>aware of this application and kept up to date on progress.</w:t>
      </w:r>
      <w:r w:rsidR="000840A7" w:rsidRPr="000840A7">
        <w:rPr>
          <w:szCs w:val="22"/>
        </w:rPr>
        <w:t xml:space="preserve"> All calls for submissions are notified via the </w:t>
      </w:r>
      <w:r w:rsidR="000840A7">
        <w:rPr>
          <w:szCs w:val="22"/>
        </w:rPr>
        <w:t>FSANZ</w:t>
      </w:r>
      <w:r w:rsidR="000840A7" w:rsidRPr="000840A7">
        <w:rPr>
          <w:szCs w:val="22"/>
        </w:rPr>
        <w:t xml:space="preserve"> Notification Circular, media release, FSANZ’s social media tools and Food Standards News.</w:t>
      </w:r>
    </w:p>
    <w:p w14:paraId="72364B44" w14:textId="77777777" w:rsidR="000840A7" w:rsidRPr="000840A7" w:rsidRDefault="000840A7" w:rsidP="000840A7">
      <w:pPr>
        <w:rPr>
          <w:szCs w:val="22"/>
        </w:rPr>
      </w:pPr>
    </w:p>
    <w:p w14:paraId="6C72C727" w14:textId="3F1F1475" w:rsidR="005F0755" w:rsidRDefault="000840A7" w:rsidP="000840A7">
      <w:pPr>
        <w:rPr>
          <w:szCs w:val="22"/>
        </w:rPr>
      </w:pPr>
      <w:r w:rsidRPr="000840A7">
        <w:rPr>
          <w:szCs w:val="22"/>
        </w:rPr>
        <w:t xml:space="preserve">The process by which FSANZ </w:t>
      </w:r>
      <w:r>
        <w:rPr>
          <w:szCs w:val="22"/>
        </w:rPr>
        <w:t>approaches</w:t>
      </w:r>
      <w:r w:rsidRPr="000840A7">
        <w:rPr>
          <w:szCs w:val="22"/>
        </w:rPr>
        <w:t xml:space="preserve"> standard</w:t>
      </w:r>
      <w:r>
        <w:rPr>
          <w:szCs w:val="22"/>
        </w:rPr>
        <w:t>s</w:t>
      </w:r>
      <w:r w:rsidRPr="000840A7">
        <w:rPr>
          <w:szCs w:val="22"/>
        </w:rPr>
        <w:t xml:space="preserve"> development matters is open, accountable, consultative and transparent. Public submissions are called to obtain the views of interested parties on issues raised by </w:t>
      </w:r>
      <w:r w:rsidRPr="000840A7">
        <w:rPr>
          <w:szCs w:val="22"/>
        </w:rPr>
        <w:lastRenderedPageBreak/>
        <w:t xml:space="preserve">the application and the impacts of regulatory options. </w:t>
      </w:r>
      <w:r w:rsidR="004E5A66">
        <w:rPr>
          <w:szCs w:val="22"/>
        </w:rPr>
        <w:t xml:space="preserve">FSANZ </w:t>
      </w:r>
      <w:r w:rsidR="005F0755">
        <w:rPr>
          <w:szCs w:val="22"/>
        </w:rPr>
        <w:t xml:space="preserve">also </w:t>
      </w:r>
      <w:r w:rsidR="00385E0D">
        <w:rPr>
          <w:szCs w:val="22"/>
        </w:rPr>
        <w:t xml:space="preserve">engaged </w:t>
      </w:r>
      <w:r w:rsidR="004E5A66">
        <w:rPr>
          <w:szCs w:val="22"/>
        </w:rPr>
        <w:t xml:space="preserve">with key stakeholders </w:t>
      </w:r>
      <w:r w:rsidR="00385E0D">
        <w:rPr>
          <w:szCs w:val="22"/>
        </w:rPr>
        <w:t xml:space="preserve">including several consumer groups, </w:t>
      </w:r>
      <w:r w:rsidR="004E5A66">
        <w:rPr>
          <w:szCs w:val="22"/>
        </w:rPr>
        <w:t xml:space="preserve">Australian jurisdictions and the New Zealand government. </w:t>
      </w:r>
    </w:p>
    <w:p w14:paraId="651CF4D8" w14:textId="77777777" w:rsidR="005F0755" w:rsidRDefault="005F0755" w:rsidP="000840A7">
      <w:pPr>
        <w:rPr>
          <w:szCs w:val="22"/>
        </w:rPr>
      </w:pPr>
    </w:p>
    <w:p w14:paraId="140B4376" w14:textId="45950790" w:rsidR="002C1A3B" w:rsidRPr="00A670A7" w:rsidRDefault="000840A7" w:rsidP="000840A7">
      <w:pPr>
        <w:rPr>
          <w:szCs w:val="22"/>
        </w:rPr>
      </w:pPr>
      <w:r w:rsidRPr="000840A7">
        <w:rPr>
          <w:szCs w:val="22"/>
        </w:rPr>
        <w:t xml:space="preserve">FSANZ acknowledges the time taken by individuals and organisations to make submissions on this application. </w:t>
      </w:r>
      <w:r w:rsidR="005F0755">
        <w:rPr>
          <w:szCs w:val="22"/>
        </w:rPr>
        <w:t>FSANZ had regard to all submissions made in making its decision</w:t>
      </w:r>
      <w:r w:rsidRPr="000840A7">
        <w:rPr>
          <w:szCs w:val="22"/>
        </w:rPr>
        <w:t>. All comments are valued and contribute to the rigour of our assessment.</w:t>
      </w:r>
    </w:p>
    <w:p w14:paraId="088C066A" w14:textId="758AB7AC" w:rsidR="002C1A3B" w:rsidRPr="00165FF2" w:rsidRDefault="0080668C" w:rsidP="0080668C">
      <w:pPr>
        <w:pStyle w:val="Heading2"/>
      </w:pPr>
      <w:bookmarkStart w:id="197" w:name="_Toc370225391"/>
      <w:bookmarkStart w:id="198" w:name="_Toc65149709"/>
      <w:bookmarkStart w:id="199" w:name="_Toc65507090"/>
      <w:bookmarkStart w:id="200" w:name="_Toc65684155"/>
      <w:bookmarkStart w:id="201" w:name="_Toc71204382"/>
      <w:bookmarkStart w:id="202" w:name="_Toc175381455"/>
      <w:bookmarkEnd w:id="90"/>
      <w:bookmarkEnd w:id="91"/>
      <w:bookmarkEnd w:id="92"/>
      <w:bookmarkEnd w:id="93"/>
      <w:bookmarkEnd w:id="94"/>
      <w:bookmarkEnd w:id="95"/>
      <w:bookmarkEnd w:id="166"/>
      <w:r>
        <w:t>5.</w:t>
      </w:r>
      <w:r w:rsidR="002C1A3B" w:rsidRPr="00165FF2">
        <w:t>2</w:t>
      </w:r>
      <w:r w:rsidR="002C1A3B" w:rsidRPr="00165FF2">
        <w:tab/>
        <w:t>World Trade Organization (WTO)</w:t>
      </w:r>
      <w:bookmarkEnd w:id="197"/>
      <w:bookmarkEnd w:id="198"/>
      <w:bookmarkEnd w:id="199"/>
      <w:bookmarkEnd w:id="200"/>
      <w:bookmarkEnd w:id="201"/>
    </w:p>
    <w:p w14:paraId="5D763C91" w14:textId="07358B69" w:rsidR="00004DB6" w:rsidRPr="00004DB6" w:rsidRDefault="002C1A3B" w:rsidP="00004DB6">
      <w:pPr>
        <w:rPr>
          <w:rFonts w:cs="Arial"/>
        </w:rPr>
      </w:pPr>
      <w:r w:rsidRPr="00165FF2">
        <w:rPr>
          <w:rFonts w:cs="Arial"/>
        </w:rPr>
        <w:t xml:space="preserve">As members of the World Trade Organization (WTO), Australia and New Zealand are </w:t>
      </w:r>
      <w:r w:rsidR="00165FF2">
        <w:rPr>
          <w:rFonts w:cs="Arial"/>
        </w:rPr>
        <w:t>obliged</w:t>
      </w:r>
      <w:r w:rsidRPr="00165FF2">
        <w:rPr>
          <w:rFonts w:cs="Arial"/>
        </w:rPr>
        <w:t xml:space="preserve"> </w:t>
      </w:r>
      <w:r w:rsidR="00004DB6" w:rsidRPr="00004DB6">
        <w:rPr>
          <w:rFonts w:cs="Arial"/>
        </w:rPr>
        <w:t>to notify WTO member nations where proposed mandatory regulatory measures are inconsistent with any existing or imminent international standards</w:t>
      </w:r>
      <w:r w:rsidR="0030146B">
        <w:rPr>
          <w:rFonts w:cs="Arial"/>
        </w:rPr>
        <w:t>,</w:t>
      </w:r>
      <w:r w:rsidR="00004DB6" w:rsidRPr="00004DB6">
        <w:rPr>
          <w:rFonts w:cs="Arial"/>
        </w:rPr>
        <w:t xml:space="preserve"> and the proposed measure may have a significant effect on trade.</w:t>
      </w:r>
    </w:p>
    <w:p w14:paraId="1BFE6084" w14:textId="77777777" w:rsidR="00004DB6" w:rsidRPr="00004DB6" w:rsidRDefault="00004DB6" w:rsidP="00004DB6">
      <w:pPr>
        <w:rPr>
          <w:rFonts w:cs="Arial"/>
        </w:rPr>
      </w:pPr>
    </w:p>
    <w:p w14:paraId="08C979A1" w14:textId="674893F5" w:rsidR="00004DB6" w:rsidRPr="00004DB6" w:rsidRDefault="00004DB6" w:rsidP="00004DB6">
      <w:pPr>
        <w:rPr>
          <w:rFonts w:cs="Arial"/>
        </w:rPr>
      </w:pPr>
      <w:r w:rsidRPr="00004DB6">
        <w:rPr>
          <w:rFonts w:cs="Arial"/>
        </w:rPr>
        <w:t xml:space="preserve">The proposed amendments are consistent with the WTO Sanitary and Phytosanitary Agreement (SPS), which requires all measures to be the least restrictive to trade. However,  FSANZ made a notification to the WTO for this application in accordance with the SPS agreement, as FSANZ acknowledged that this application seeks the generic use of the technology for fruit and vegetables, and it would be in the interests of improved transparency and to enable other WTO members to comment on the proposed amendments. The notification was published on </w:t>
      </w:r>
      <w:r w:rsidR="004E635E">
        <w:rPr>
          <w:rFonts w:cs="Arial"/>
        </w:rPr>
        <w:t>2 November</w:t>
      </w:r>
      <w:r w:rsidRPr="00004DB6">
        <w:rPr>
          <w:rFonts w:cs="Arial"/>
        </w:rPr>
        <w:t xml:space="preserve"> </w:t>
      </w:r>
      <w:r w:rsidR="004E635E">
        <w:rPr>
          <w:rFonts w:cs="Arial"/>
        </w:rPr>
        <w:t>2020</w:t>
      </w:r>
      <w:r w:rsidRPr="00004DB6">
        <w:rPr>
          <w:rFonts w:cs="Arial"/>
        </w:rPr>
        <w:t xml:space="preserve"> by the Aust</w:t>
      </w:r>
      <w:r>
        <w:rPr>
          <w:rFonts w:cs="Arial"/>
        </w:rPr>
        <w:t>r</w:t>
      </w:r>
      <w:r w:rsidRPr="00004DB6">
        <w:rPr>
          <w:rFonts w:cs="Arial"/>
        </w:rPr>
        <w:t xml:space="preserve">alian government (Notification </w:t>
      </w:r>
      <w:r w:rsidR="004E635E" w:rsidRPr="004E635E">
        <w:rPr>
          <w:rFonts w:cs="Arial"/>
        </w:rPr>
        <w:t>G/SPS/N/AUS/508</w:t>
      </w:r>
      <w:r w:rsidRPr="00004DB6">
        <w:rPr>
          <w:rFonts w:cs="Arial"/>
        </w:rPr>
        <w:t xml:space="preserve">) and </w:t>
      </w:r>
      <w:r w:rsidR="004E635E">
        <w:rPr>
          <w:rFonts w:cs="Arial"/>
        </w:rPr>
        <w:t xml:space="preserve">on 3 November 2020 by the </w:t>
      </w:r>
      <w:r w:rsidRPr="00004DB6">
        <w:rPr>
          <w:rFonts w:cs="Arial"/>
        </w:rPr>
        <w:t xml:space="preserve">New Zealand government (Notification </w:t>
      </w:r>
      <w:r w:rsidR="004E635E" w:rsidRPr="004E635E">
        <w:rPr>
          <w:rFonts w:cs="Arial"/>
        </w:rPr>
        <w:t>G/SPS/N/NZL/640</w:t>
      </w:r>
      <w:r w:rsidRPr="00004DB6">
        <w:rPr>
          <w:rFonts w:cs="Arial"/>
        </w:rPr>
        <w:t xml:space="preserve">). The closing date for the notification was </w:t>
      </w:r>
      <w:r w:rsidR="00557D0A">
        <w:rPr>
          <w:rFonts w:cs="Arial"/>
        </w:rPr>
        <w:t>10 January 2021</w:t>
      </w:r>
      <w:r w:rsidRPr="00004DB6">
        <w:rPr>
          <w:rFonts w:cs="Arial"/>
        </w:rPr>
        <w:t>.</w:t>
      </w:r>
    </w:p>
    <w:p w14:paraId="344BC884" w14:textId="77777777" w:rsidR="00004DB6" w:rsidRPr="00004DB6" w:rsidRDefault="00004DB6" w:rsidP="00004DB6">
      <w:pPr>
        <w:rPr>
          <w:rFonts w:cs="Arial"/>
        </w:rPr>
      </w:pPr>
    </w:p>
    <w:p w14:paraId="1E05F1A4" w14:textId="0BB35303" w:rsidR="002C1A3B" w:rsidRPr="00165FF2" w:rsidRDefault="00004DB6" w:rsidP="00004DB6">
      <w:pPr>
        <w:rPr>
          <w:noProof/>
        </w:rPr>
      </w:pPr>
      <w:r w:rsidRPr="00004DB6">
        <w:rPr>
          <w:rFonts w:cs="Arial"/>
        </w:rPr>
        <w:t>No WTO member nation provided comment on this application.</w:t>
      </w:r>
    </w:p>
    <w:p w14:paraId="6513F23F" w14:textId="0D452D10" w:rsidR="002C1A3B" w:rsidRPr="002C1A3B" w:rsidRDefault="00D17B27" w:rsidP="00D17B27">
      <w:pPr>
        <w:pStyle w:val="Heading1"/>
      </w:pPr>
      <w:bookmarkStart w:id="203" w:name="_Toc370223477"/>
      <w:bookmarkStart w:id="204" w:name="_Toc370225392"/>
      <w:bookmarkStart w:id="205" w:name="_Toc65149710"/>
      <w:bookmarkStart w:id="206" w:name="_Toc65507091"/>
      <w:bookmarkStart w:id="207" w:name="_Toc65684156"/>
      <w:bookmarkStart w:id="208" w:name="_Toc71204383"/>
      <w:bookmarkStart w:id="209" w:name="_Toc309291816"/>
      <w:bookmarkStart w:id="210" w:name="_Toc300933448"/>
      <w:bookmarkStart w:id="211" w:name="_Toc300933577"/>
      <w:bookmarkStart w:id="212" w:name="_Toc301535601"/>
      <w:bookmarkStart w:id="213" w:name="_Toc309385464"/>
      <w:bookmarkStart w:id="214" w:name="_Toc175381456"/>
      <w:bookmarkEnd w:id="202"/>
      <w:r>
        <w:t>6</w:t>
      </w:r>
      <w:r w:rsidR="002C1A3B" w:rsidRPr="002C1A3B">
        <w:tab/>
        <w:t>FSANZ Act assessment requirements</w:t>
      </w:r>
      <w:bookmarkEnd w:id="203"/>
      <w:bookmarkEnd w:id="204"/>
      <w:bookmarkEnd w:id="205"/>
      <w:bookmarkEnd w:id="206"/>
      <w:bookmarkEnd w:id="207"/>
      <w:bookmarkEnd w:id="208"/>
    </w:p>
    <w:p w14:paraId="49415AA4" w14:textId="740013D1" w:rsidR="002C1A3B" w:rsidRPr="002C1A3B" w:rsidRDefault="00D17B27" w:rsidP="00D17B27">
      <w:pPr>
        <w:pStyle w:val="Heading2"/>
      </w:pPr>
      <w:bookmarkStart w:id="215" w:name="_Toc370223478"/>
      <w:bookmarkStart w:id="216" w:name="_Toc370225393"/>
      <w:bookmarkStart w:id="217" w:name="_Toc65149711"/>
      <w:bookmarkStart w:id="218" w:name="_Toc65507092"/>
      <w:bookmarkStart w:id="219" w:name="_Toc65684157"/>
      <w:bookmarkStart w:id="220" w:name="_Toc71204384"/>
      <w:bookmarkEnd w:id="209"/>
      <w:bookmarkEnd w:id="210"/>
      <w:bookmarkEnd w:id="211"/>
      <w:bookmarkEnd w:id="212"/>
      <w:bookmarkEnd w:id="213"/>
      <w:r>
        <w:t>6</w:t>
      </w:r>
      <w:r w:rsidR="002C1A3B" w:rsidRPr="002C1A3B">
        <w:t>.1</w:t>
      </w:r>
      <w:r w:rsidR="002C1A3B" w:rsidRPr="002C1A3B">
        <w:tab/>
        <w:t xml:space="preserve">Section </w:t>
      </w:r>
      <w:r w:rsidR="002C1A3B" w:rsidRPr="00BA3A1F">
        <w:t>29</w:t>
      </w:r>
      <w:bookmarkEnd w:id="215"/>
      <w:bookmarkEnd w:id="216"/>
      <w:bookmarkEnd w:id="217"/>
      <w:bookmarkEnd w:id="218"/>
      <w:bookmarkEnd w:id="219"/>
      <w:bookmarkEnd w:id="220"/>
    </w:p>
    <w:p w14:paraId="6B3F13CD" w14:textId="290E1491" w:rsidR="002C1A3B" w:rsidRPr="002C1A3B" w:rsidRDefault="00D17B27" w:rsidP="00D17B27">
      <w:pPr>
        <w:pStyle w:val="Heading3"/>
      </w:pPr>
      <w:bookmarkStart w:id="221" w:name="_Toc65149712"/>
      <w:bookmarkStart w:id="222" w:name="_Toc65507093"/>
      <w:bookmarkStart w:id="223" w:name="_Toc65684158"/>
      <w:bookmarkStart w:id="224" w:name="_Toc71204385"/>
      <w:r>
        <w:t>6</w:t>
      </w:r>
      <w:r w:rsidR="002C1A3B" w:rsidRPr="002C1A3B">
        <w:t>.1.1</w:t>
      </w:r>
      <w:r w:rsidR="002C1A3B" w:rsidRPr="002C1A3B">
        <w:tab/>
      </w:r>
      <w:r w:rsidR="00BF45A3">
        <w:t>Consideration of costs and</w:t>
      </w:r>
      <w:r w:rsidR="002C1A3B" w:rsidRPr="002C1A3B">
        <w:t xml:space="preserve"> benefit</w:t>
      </w:r>
      <w:r w:rsidR="00BF45A3">
        <w:t>s</w:t>
      </w:r>
      <w:bookmarkEnd w:id="221"/>
      <w:bookmarkEnd w:id="222"/>
      <w:bookmarkEnd w:id="223"/>
      <w:bookmarkEnd w:id="224"/>
    </w:p>
    <w:p w14:paraId="725EEA50" w14:textId="77777777" w:rsidR="00BA3A1F" w:rsidRDefault="00BA3A1F" w:rsidP="00BA3A1F">
      <w:pPr>
        <w:rPr>
          <w:lang w:bidi="ar-SA"/>
        </w:rPr>
      </w:pPr>
      <w:r>
        <w:rPr>
          <w:lang w:bidi="ar-SA"/>
        </w:rPr>
        <w:t xml:space="preserve">The Office of Best Practice Regulation (OBPR) granted FSANZ a standing exemption from the requirement to develop a Regulatory Impact Statement (RIS) for applications seeking permission to irradiate foods (OBPR correspondence dated 15 May 2012, reference number 13845). This standing exemption was provided as such changes are considered minor, machinery and deregulatory in nature. The exemption applies to the introduction of a food to the food supply that has been determined to be safe. </w:t>
      </w:r>
    </w:p>
    <w:p w14:paraId="3E4FE484" w14:textId="77777777" w:rsidR="00BA3A1F" w:rsidRDefault="00BA3A1F" w:rsidP="00BA3A1F">
      <w:pPr>
        <w:rPr>
          <w:lang w:bidi="ar-SA"/>
        </w:rPr>
      </w:pPr>
    </w:p>
    <w:p w14:paraId="19FE73B2" w14:textId="7C226AF3" w:rsidR="00BA3A1F" w:rsidRDefault="00BA3A1F" w:rsidP="00BA3A1F">
      <w:pPr>
        <w:rPr>
          <w:rFonts w:cs="Arial"/>
        </w:rPr>
      </w:pPr>
      <w:r>
        <w:rPr>
          <w:rFonts w:cs="Arial"/>
        </w:rPr>
        <w:t xml:space="preserve">As this application sought permission to irradiate all types of fresh fruit and vegetables as a phytosanitary treatment, FSANZ contacted OBPR to confirm that the standing exemption </w:t>
      </w:r>
      <w:r>
        <w:rPr>
          <w:lang w:bidi="ar-SA"/>
        </w:rPr>
        <w:t xml:space="preserve">(reference 13845) applied in this case given the wider scope than past irradiation applications. </w:t>
      </w:r>
      <w:r>
        <w:rPr>
          <w:rFonts w:cs="Arial"/>
        </w:rPr>
        <w:t xml:space="preserve">The OBPR confirmed that a RIS was not required as the application appeared likely to have only a minor economic impact (OBPR reference number </w:t>
      </w:r>
      <w:r>
        <w:rPr>
          <w:bCs/>
          <w:color w:val="000000" w:themeColor="text1"/>
          <w:lang w:val="en-AU"/>
        </w:rPr>
        <w:t>42788</w:t>
      </w:r>
      <w:r>
        <w:rPr>
          <w:rFonts w:cs="Arial"/>
        </w:rPr>
        <w:t xml:space="preserve">). </w:t>
      </w:r>
    </w:p>
    <w:p w14:paraId="51A9420A" w14:textId="77777777" w:rsidR="00BA3A1F" w:rsidRDefault="00BA3A1F" w:rsidP="00BA3A1F">
      <w:pPr>
        <w:rPr>
          <w:lang w:bidi="ar-SA"/>
        </w:rPr>
      </w:pPr>
    </w:p>
    <w:p w14:paraId="65575352" w14:textId="676D399C" w:rsidR="00BA3A1F" w:rsidRDefault="00BA3A1F" w:rsidP="00BA3A1F">
      <w:pPr>
        <w:rPr>
          <w:lang w:bidi="ar-SA"/>
        </w:rPr>
      </w:pPr>
      <w:r>
        <w:rPr>
          <w:lang w:bidi="ar-SA"/>
        </w:rPr>
        <w:t xml:space="preserve">FSANZ, however, considered the costs and benefits that could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67C919E8" w14:textId="77777777" w:rsidR="0099623A" w:rsidRPr="00623217" w:rsidRDefault="0099623A" w:rsidP="002C1A3B"/>
    <w:p w14:paraId="6DF2B9F6" w14:textId="3E4E5DB6" w:rsidR="00BA3A1F" w:rsidRDefault="00BA3A1F" w:rsidP="00BA3A1F">
      <w:r w:rsidRPr="00C655BA">
        <w:t xml:space="preserve">The purpose of this consideration was to determine if the community, government, and industry as a whole is likely to benefit, on balance, from a move from the status quo (i.e. rejecting the application). This analysis considered either </w:t>
      </w:r>
      <w:r w:rsidRPr="00C655BA">
        <w:rPr>
          <w:bCs/>
        </w:rPr>
        <w:t>approving or rejecting the application</w:t>
      </w:r>
      <w:r w:rsidRPr="00C655BA">
        <w:t>. A consideration of costs and benefits was included in the CFS report based on the information and data held at that time. No further information was received during the consultation process that changed the findings from the analysis of costs and benefits in the CFS.</w:t>
      </w:r>
    </w:p>
    <w:p w14:paraId="004E527C" w14:textId="4DC03477" w:rsidR="00420EB5" w:rsidRDefault="00420EB5" w:rsidP="00BA3A1F"/>
    <w:p w14:paraId="2A1DB107" w14:textId="3AFA1A81" w:rsidR="00420EB5" w:rsidRDefault="00420EB5" w:rsidP="00420EB5">
      <w:r w:rsidRPr="00C655BA">
        <w:lastRenderedPageBreak/>
        <w:t xml:space="preserve">The consideration of the costs and benefits outlined in this section is not intended to be an exhaustive, quantitative economic analysis of the measure and, in fact, most of the effects that were considered cannot easily be assigned a dollar value. Rather, the assessment sought to highlight the likely positives and negatives of moving away from the status quo by permitting </w:t>
      </w:r>
      <w:r>
        <w:t>a broader range of fruit and vegetables to be irradiated for a phytosanitary purpose.</w:t>
      </w:r>
    </w:p>
    <w:p w14:paraId="27D79B4F" w14:textId="0A3FB7B1" w:rsidR="00420EB5" w:rsidRDefault="00420EB5" w:rsidP="00420EB5"/>
    <w:p w14:paraId="4976BAC5" w14:textId="32B91AFD" w:rsidR="00420EB5" w:rsidRDefault="00420EB5" w:rsidP="00420EB5">
      <w:r>
        <w:t>FSANZ’s conclusions regarding impacts of the proposed measure are set out below.</w:t>
      </w:r>
    </w:p>
    <w:p w14:paraId="024D33F4" w14:textId="2F03344C" w:rsidR="00420EB5" w:rsidRDefault="00420EB5" w:rsidP="00420EB5"/>
    <w:p w14:paraId="4F98AB19" w14:textId="77777777" w:rsidR="00420EB5" w:rsidRDefault="00420EB5" w:rsidP="00420EB5">
      <w:pPr>
        <w:widowControl/>
        <w:rPr>
          <w:i/>
          <w:szCs w:val="22"/>
        </w:rPr>
      </w:pPr>
      <w:r>
        <w:rPr>
          <w:i/>
          <w:szCs w:val="22"/>
        </w:rPr>
        <w:t xml:space="preserve">Industry </w:t>
      </w:r>
    </w:p>
    <w:p w14:paraId="2EE8C33D" w14:textId="77777777" w:rsidR="00420EB5" w:rsidRDefault="00420EB5" w:rsidP="00420EB5">
      <w:pPr>
        <w:widowControl/>
        <w:rPr>
          <w:b/>
          <w:szCs w:val="22"/>
        </w:rPr>
      </w:pPr>
    </w:p>
    <w:p w14:paraId="3296B6E1" w14:textId="77777777" w:rsidR="00420EB5" w:rsidRDefault="00420EB5" w:rsidP="00420EB5">
      <w:pPr>
        <w:widowControl/>
        <w:rPr>
          <w:szCs w:val="22"/>
        </w:rPr>
      </w:pPr>
      <w:r>
        <w:rPr>
          <w:szCs w:val="22"/>
        </w:rPr>
        <w:t xml:space="preserve">Approving the use of irradiation for all fresh fruit and vegetables as a phytosanitary measure would allow broader market access for domestic trade and importers and increased choice by businesses to use a proven quarantine treatment to eradicate fruit fly pests. </w:t>
      </w:r>
    </w:p>
    <w:p w14:paraId="5AF2A6A9" w14:textId="77777777" w:rsidR="00420EB5" w:rsidRDefault="00420EB5" w:rsidP="00420EB5">
      <w:pPr>
        <w:widowControl/>
        <w:rPr>
          <w:szCs w:val="22"/>
        </w:rPr>
      </w:pPr>
    </w:p>
    <w:p w14:paraId="0C081728" w14:textId="18FA1FF1" w:rsidR="00420EB5" w:rsidRDefault="00420EB5" w:rsidP="00420EB5">
      <w:pPr>
        <w:widowControl/>
        <w:rPr>
          <w:szCs w:val="22"/>
        </w:rPr>
      </w:pPr>
      <w:r>
        <w:rPr>
          <w:szCs w:val="22"/>
        </w:rPr>
        <w:t xml:space="preserve">The segregation of irradiated foods from non-irradiated will be driven by industry (e.g. retailers) based on market and consumer preferences. </w:t>
      </w:r>
    </w:p>
    <w:p w14:paraId="2D6D1B52" w14:textId="77777777" w:rsidR="00420EB5" w:rsidRDefault="00420EB5" w:rsidP="00420EB5">
      <w:pPr>
        <w:widowControl/>
        <w:rPr>
          <w:b/>
          <w:szCs w:val="22"/>
        </w:rPr>
      </w:pPr>
    </w:p>
    <w:p w14:paraId="4DBDDEB2" w14:textId="77777777" w:rsidR="00420EB5" w:rsidRDefault="00420EB5" w:rsidP="00420EB5">
      <w:pPr>
        <w:widowControl/>
        <w:rPr>
          <w:i/>
          <w:szCs w:val="22"/>
        </w:rPr>
      </w:pPr>
      <w:r>
        <w:rPr>
          <w:i/>
          <w:szCs w:val="22"/>
        </w:rPr>
        <w:t xml:space="preserve">Consumers </w:t>
      </w:r>
    </w:p>
    <w:p w14:paraId="08153E91" w14:textId="77777777" w:rsidR="00420EB5" w:rsidRDefault="00420EB5" w:rsidP="00420EB5">
      <w:pPr>
        <w:widowControl/>
        <w:rPr>
          <w:i/>
          <w:szCs w:val="22"/>
        </w:rPr>
      </w:pPr>
    </w:p>
    <w:p w14:paraId="320DE35E" w14:textId="67F953F7" w:rsidR="00420EB5" w:rsidRDefault="00420EB5" w:rsidP="00420EB5">
      <w:pPr>
        <w:widowControl/>
        <w:rPr>
          <w:szCs w:val="22"/>
        </w:rPr>
      </w:pPr>
      <w:r>
        <w:rPr>
          <w:szCs w:val="22"/>
        </w:rPr>
        <w:t xml:space="preserve">As mentioned above, </w:t>
      </w:r>
      <w:r>
        <w:rPr>
          <w:szCs w:val="22"/>
          <w:lang w:bidi="ar-SA"/>
        </w:rPr>
        <w:t>no public health or safety concerns resulting from consumption of these foods were identified in the safety assessment</w:t>
      </w:r>
      <w:r>
        <w:t>. Mandatory labelling will allow consumers wishing to avoid irradiated foods to do so.</w:t>
      </w:r>
    </w:p>
    <w:p w14:paraId="59D86ACF" w14:textId="77777777" w:rsidR="00420EB5" w:rsidRDefault="00420EB5" w:rsidP="00420EB5">
      <w:pPr>
        <w:widowControl/>
        <w:rPr>
          <w:b/>
          <w:szCs w:val="22"/>
        </w:rPr>
      </w:pPr>
    </w:p>
    <w:p w14:paraId="5E8662FC" w14:textId="77777777" w:rsidR="00420EB5" w:rsidRDefault="00420EB5" w:rsidP="00420EB5">
      <w:pPr>
        <w:widowControl/>
        <w:rPr>
          <w:i/>
          <w:szCs w:val="22"/>
        </w:rPr>
      </w:pPr>
      <w:r>
        <w:rPr>
          <w:i/>
          <w:szCs w:val="22"/>
        </w:rPr>
        <w:t xml:space="preserve">Government </w:t>
      </w:r>
    </w:p>
    <w:p w14:paraId="64904AF1" w14:textId="77777777" w:rsidR="00420EB5" w:rsidRDefault="00420EB5" w:rsidP="00420EB5">
      <w:pPr>
        <w:widowControl/>
        <w:rPr>
          <w:b/>
          <w:szCs w:val="22"/>
        </w:rPr>
      </w:pPr>
    </w:p>
    <w:p w14:paraId="0E97E0E3" w14:textId="6BFEFD0C" w:rsidR="00420EB5" w:rsidRDefault="00420EB5" w:rsidP="00420EB5">
      <w:pPr>
        <w:widowControl/>
      </w:pPr>
      <w:r>
        <w:rPr>
          <w:bCs/>
          <w:lang w:bidi="ar-SA"/>
        </w:rPr>
        <w:t xml:space="preserve">There may be incremental but likely inconsequential costs to government in terms of monitoring and enforcement </w:t>
      </w:r>
      <w:r>
        <w:t>to ensure compliance with the labelling requirements. As the permission relates only to fresh fruit and vegetables, monitoring is also required to ensure that irradiated foods that are not approved</w:t>
      </w:r>
      <w:r w:rsidR="00812C7F">
        <w:t xml:space="preserve"> under Standard 1.5.3</w:t>
      </w:r>
      <w:r>
        <w:t xml:space="preserve"> are not illegally entering the food supply. </w:t>
      </w:r>
    </w:p>
    <w:p w14:paraId="739B1611" w14:textId="77777777" w:rsidR="00420EB5" w:rsidRDefault="00420EB5" w:rsidP="00420EB5">
      <w:pPr>
        <w:pStyle w:val="Heading5"/>
      </w:pPr>
      <w:r>
        <w:t>Conclusions from cost benefit considerations</w:t>
      </w:r>
    </w:p>
    <w:p w14:paraId="1FAA6D75" w14:textId="77777777" w:rsidR="00420EB5" w:rsidRDefault="00420EB5" w:rsidP="00420EB5">
      <w:pPr>
        <w:widowControl/>
        <w:rPr>
          <w:szCs w:val="22"/>
          <w:lang w:bidi="ar-SA"/>
        </w:rPr>
      </w:pPr>
      <w:r>
        <w:rPr>
          <w:szCs w:val="22"/>
          <w:lang w:bidi="ar-SA"/>
        </w:rPr>
        <w:t>FSANZ’s assessment is that the potential benefits of approving the variation outweigh the potential costs.</w:t>
      </w:r>
    </w:p>
    <w:p w14:paraId="2A47E59F" w14:textId="5F59C874" w:rsidR="002C1A3B" w:rsidRPr="002C1A3B" w:rsidRDefault="00D17B27" w:rsidP="00D17B27">
      <w:pPr>
        <w:pStyle w:val="Heading3"/>
      </w:pPr>
      <w:bookmarkStart w:id="225" w:name="_Toc65149713"/>
      <w:bookmarkStart w:id="226" w:name="_Toc65507094"/>
      <w:bookmarkStart w:id="227" w:name="_Toc65684159"/>
      <w:bookmarkStart w:id="228" w:name="_Toc71204386"/>
      <w:r>
        <w:t>6</w:t>
      </w:r>
      <w:r w:rsidR="002C1A3B" w:rsidRPr="002C1A3B">
        <w:t>.1.2</w:t>
      </w:r>
      <w:r w:rsidR="002C1A3B" w:rsidRPr="002C1A3B">
        <w:tab/>
        <w:t>Other measures</w:t>
      </w:r>
      <w:bookmarkEnd w:id="225"/>
      <w:bookmarkEnd w:id="226"/>
      <w:bookmarkEnd w:id="227"/>
      <w:bookmarkEnd w:id="228"/>
    </w:p>
    <w:p w14:paraId="58A082D0" w14:textId="55A26507" w:rsidR="004B029A" w:rsidRPr="008F42E4" w:rsidRDefault="004B029A" w:rsidP="004B029A">
      <w:r w:rsidRPr="002C1A3B">
        <w:t xml:space="preserve">There are no other measures (whether available to FSANZ or not) that would be more cost-effective than a food regulatory measure developed or varied </w:t>
      </w:r>
      <w:r w:rsidR="00686BD5">
        <w:t>as a result of the a</w:t>
      </w:r>
      <w:r w:rsidRPr="008F42E4">
        <w:t xml:space="preserve">pplication. </w:t>
      </w:r>
    </w:p>
    <w:p w14:paraId="0977D954" w14:textId="06E337ED" w:rsidR="002C1A3B" w:rsidRPr="002C1A3B" w:rsidRDefault="00D17B27" w:rsidP="00D17B27">
      <w:pPr>
        <w:pStyle w:val="Heading3"/>
      </w:pPr>
      <w:bookmarkStart w:id="229" w:name="_Toc65149714"/>
      <w:bookmarkStart w:id="230" w:name="_Toc65507095"/>
      <w:bookmarkStart w:id="231" w:name="_Toc65684160"/>
      <w:bookmarkStart w:id="232" w:name="_Toc71204387"/>
      <w:r>
        <w:t>6</w:t>
      </w:r>
      <w:r w:rsidR="002C1A3B" w:rsidRPr="002C1A3B">
        <w:t>.1.3</w:t>
      </w:r>
      <w:r w:rsidR="002C1A3B" w:rsidRPr="002C1A3B">
        <w:tab/>
        <w:t>Any relevant New Zealand standards</w:t>
      </w:r>
      <w:bookmarkEnd w:id="229"/>
      <w:bookmarkEnd w:id="230"/>
      <w:bookmarkEnd w:id="231"/>
      <w:bookmarkEnd w:id="232"/>
    </w:p>
    <w:p w14:paraId="55D92D60" w14:textId="412ADFF3" w:rsidR="002C1A3B" w:rsidRPr="002C1A3B" w:rsidRDefault="00420EB5" w:rsidP="002C1A3B">
      <w:pPr>
        <w:rPr>
          <w:lang w:bidi="ar-SA"/>
        </w:rPr>
      </w:pPr>
      <w:r>
        <w:rPr>
          <w:lang w:bidi="ar-SA"/>
        </w:rPr>
        <w:t>Standards 1.1.1, 1.2.1</w:t>
      </w:r>
      <w:r w:rsidR="00746D80">
        <w:rPr>
          <w:lang w:bidi="ar-SA"/>
        </w:rPr>
        <w:t>,</w:t>
      </w:r>
      <w:r>
        <w:rPr>
          <w:lang w:bidi="ar-SA"/>
        </w:rPr>
        <w:t xml:space="preserve"> 1.5.3 and </w:t>
      </w:r>
      <w:r w:rsidR="00746D80">
        <w:rPr>
          <w:lang w:bidi="ar-SA"/>
        </w:rPr>
        <w:t>Schedule 22</w:t>
      </w:r>
      <w:r>
        <w:rPr>
          <w:lang w:bidi="ar-SA"/>
        </w:rPr>
        <w:t xml:space="preserve"> apply in both Australia and New Zealand and there are no relevant New Zealand only standards.</w:t>
      </w:r>
    </w:p>
    <w:p w14:paraId="07AEAF1E" w14:textId="5BCB39AE" w:rsidR="002C1A3B" w:rsidRPr="002C1A3B" w:rsidRDefault="00D17B27" w:rsidP="00D17B27">
      <w:pPr>
        <w:pStyle w:val="Heading3"/>
      </w:pPr>
      <w:bookmarkStart w:id="233" w:name="_Toc65149715"/>
      <w:bookmarkStart w:id="234" w:name="_Toc65507096"/>
      <w:bookmarkStart w:id="235" w:name="_Toc65684161"/>
      <w:bookmarkStart w:id="236" w:name="_Toc71204388"/>
      <w:r>
        <w:t>6</w:t>
      </w:r>
      <w:r w:rsidR="002C1A3B" w:rsidRPr="002C1A3B">
        <w:t>.1.4</w:t>
      </w:r>
      <w:r w:rsidR="002C1A3B" w:rsidRPr="002C1A3B">
        <w:tab/>
        <w:t>Any other relevant matters</w:t>
      </w:r>
      <w:bookmarkEnd w:id="233"/>
      <w:bookmarkEnd w:id="234"/>
      <w:bookmarkEnd w:id="235"/>
      <w:bookmarkEnd w:id="236"/>
    </w:p>
    <w:p w14:paraId="397054EA" w14:textId="77777777" w:rsidR="001F7F63" w:rsidRDefault="001F7F63" w:rsidP="001F7F63">
      <w:pPr>
        <w:rPr>
          <w:lang w:bidi="ar-SA"/>
        </w:rPr>
      </w:pPr>
      <w:bookmarkStart w:id="237" w:name="_Toc370223479"/>
      <w:bookmarkStart w:id="238" w:name="_Toc370225394"/>
      <w:bookmarkStart w:id="239" w:name="_Toc300761897"/>
      <w:bookmarkStart w:id="240" w:name="_Toc300933440"/>
      <w:r>
        <w:t>Other relevant matters are considered below</w:t>
      </w:r>
      <w:r>
        <w:rPr>
          <w:lang w:bidi="ar-SA"/>
        </w:rPr>
        <w:t>.</w:t>
      </w:r>
      <w:r>
        <w:t xml:space="preserve"> </w:t>
      </w:r>
    </w:p>
    <w:p w14:paraId="25765C31" w14:textId="16676F57" w:rsidR="002C1A3B" w:rsidRPr="002C1A3B" w:rsidRDefault="00D17B27" w:rsidP="00D17B27">
      <w:pPr>
        <w:pStyle w:val="Heading2"/>
      </w:pPr>
      <w:bookmarkStart w:id="241" w:name="_Toc65149716"/>
      <w:bookmarkStart w:id="242" w:name="_Toc65507097"/>
      <w:bookmarkStart w:id="243" w:name="_Toc65684162"/>
      <w:bookmarkStart w:id="244" w:name="_Toc71204389"/>
      <w:r>
        <w:t>6</w:t>
      </w:r>
      <w:r w:rsidR="002C1A3B" w:rsidRPr="002C1A3B">
        <w:t>.2.</w:t>
      </w:r>
      <w:r w:rsidR="002C1A3B" w:rsidRPr="002C1A3B">
        <w:tab/>
        <w:t>Subsection 18(1)</w:t>
      </w:r>
      <w:bookmarkEnd w:id="237"/>
      <w:bookmarkEnd w:id="238"/>
      <w:bookmarkEnd w:id="241"/>
      <w:bookmarkEnd w:id="242"/>
      <w:bookmarkEnd w:id="243"/>
      <w:bookmarkEnd w:id="244"/>
      <w:r w:rsidR="002C1A3B" w:rsidRPr="002C1A3B">
        <w:t xml:space="preserve"> </w:t>
      </w:r>
      <w:bookmarkEnd w:id="239"/>
      <w:bookmarkEnd w:id="240"/>
    </w:p>
    <w:p w14:paraId="48BB8CB5"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5E11CB7A" w14:textId="2D5CCAFC" w:rsidR="002C1A3B" w:rsidRPr="002C1A3B" w:rsidRDefault="00D17B27" w:rsidP="00D17B27">
      <w:pPr>
        <w:pStyle w:val="Heading3"/>
      </w:pPr>
      <w:bookmarkStart w:id="245" w:name="_Toc297029117"/>
      <w:bookmarkStart w:id="246" w:name="_Toc300761898"/>
      <w:bookmarkStart w:id="247" w:name="_Toc300933441"/>
      <w:bookmarkStart w:id="248" w:name="_Toc65149717"/>
      <w:bookmarkStart w:id="249" w:name="_Toc65507098"/>
      <w:bookmarkStart w:id="250" w:name="_Toc65684163"/>
      <w:bookmarkStart w:id="251" w:name="_Toc71204390"/>
      <w:r>
        <w:lastRenderedPageBreak/>
        <w:t>6</w:t>
      </w:r>
      <w:r w:rsidR="002C1A3B" w:rsidRPr="002C1A3B">
        <w:t>.2.1</w:t>
      </w:r>
      <w:r w:rsidR="002C1A3B" w:rsidRPr="002C1A3B">
        <w:tab/>
        <w:t>Protection of public health and safety</w:t>
      </w:r>
      <w:bookmarkEnd w:id="245"/>
      <w:bookmarkEnd w:id="246"/>
      <w:bookmarkEnd w:id="247"/>
      <w:bookmarkEnd w:id="248"/>
      <w:bookmarkEnd w:id="249"/>
      <w:bookmarkEnd w:id="250"/>
      <w:bookmarkEnd w:id="251"/>
    </w:p>
    <w:p w14:paraId="717F8CB7" w14:textId="216221F2" w:rsidR="00420EB5" w:rsidRDefault="00420EB5" w:rsidP="00420EB5">
      <w:bookmarkStart w:id="252" w:name="_Toc300761899"/>
      <w:bookmarkStart w:id="253" w:name="_Toc300933442"/>
      <w:r>
        <w:t>FSANZ undertook a safety assessment (</w:t>
      </w:r>
      <w:r w:rsidR="00624EB3">
        <w:t xml:space="preserve">see </w:t>
      </w:r>
      <w:r w:rsidR="008D6182">
        <w:t>SD</w:t>
      </w:r>
      <w:r>
        <w:t xml:space="preserve">1) and </w:t>
      </w:r>
      <w:r w:rsidRPr="00910483">
        <w:t xml:space="preserve">concluded </w:t>
      </w:r>
      <w:r w:rsidR="00A1527C" w:rsidRPr="00910483">
        <w:t xml:space="preserve">that based on the </w:t>
      </w:r>
      <w:r w:rsidR="001B7060" w:rsidRPr="00910483">
        <w:t xml:space="preserve">best available </w:t>
      </w:r>
      <w:r w:rsidR="00A1527C" w:rsidRPr="00910483">
        <w:t xml:space="preserve">evidence </w:t>
      </w:r>
      <w:r w:rsidRPr="00910483">
        <w:t xml:space="preserve">there are no public health and safety concerns associated with the consumption of fresh fruit and vegetables that have been irradiated </w:t>
      </w:r>
      <w:r w:rsidR="00162732">
        <w:t>at</w:t>
      </w:r>
      <w:r w:rsidRPr="00910483">
        <w:t xml:space="preserve"> doses of up to 1</w:t>
      </w:r>
      <w:r w:rsidR="00910483">
        <w:t> </w:t>
      </w:r>
      <w:r w:rsidRPr="00910483">
        <w:t>kGy.</w:t>
      </w:r>
    </w:p>
    <w:p w14:paraId="09CCA1FB" w14:textId="742CE45D" w:rsidR="002C1A3B" w:rsidRPr="002C1A3B" w:rsidRDefault="00D17B27" w:rsidP="00D17B27">
      <w:pPr>
        <w:pStyle w:val="Heading3"/>
      </w:pPr>
      <w:bookmarkStart w:id="254" w:name="_Toc65149718"/>
      <w:bookmarkStart w:id="255" w:name="_Toc65507099"/>
      <w:bookmarkStart w:id="256" w:name="_Toc65684164"/>
      <w:bookmarkStart w:id="257" w:name="_Toc71204391"/>
      <w:r>
        <w:t>6</w:t>
      </w:r>
      <w:r w:rsidR="002C1A3B" w:rsidRPr="002C1A3B">
        <w:t>.2.2</w:t>
      </w:r>
      <w:r w:rsidR="002C1A3B" w:rsidRPr="002C1A3B">
        <w:tab/>
        <w:t>The provision of adequate information relating to food to enable consumers to make informed choices</w:t>
      </w:r>
      <w:bookmarkEnd w:id="252"/>
      <w:bookmarkEnd w:id="253"/>
      <w:bookmarkEnd w:id="254"/>
      <w:bookmarkEnd w:id="255"/>
      <w:bookmarkEnd w:id="256"/>
      <w:bookmarkEnd w:id="257"/>
    </w:p>
    <w:p w14:paraId="1F4E7020" w14:textId="181E50BD" w:rsidR="00420EB5" w:rsidRDefault="002D7635" w:rsidP="00420EB5">
      <w:bookmarkStart w:id="258" w:name="_Toc300761900"/>
      <w:bookmarkStart w:id="259" w:name="_Toc300933443"/>
      <w:r>
        <w:t>Labelling</w:t>
      </w:r>
      <w:r w:rsidR="00624EB3" w:rsidRPr="00624EB3">
        <w:t xml:space="preserve"> issues have been addressed in </w:t>
      </w:r>
      <w:r w:rsidR="00624EB3" w:rsidRPr="002D7635">
        <w:t>Table</w:t>
      </w:r>
      <w:r w:rsidR="00B9210F" w:rsidRPr="002D7635">
        <w:t xml:space="preserve"> </w:t>
      </w:r>
      <w:r w:rsidRPr="002D7635">
        <w:t>3</w:t>
      </w:r>
      <w:r w:rsidR="00B9210F" w:rsidRPr="002D7635">
        <w:t xml:space="preserve"> and Appendices 2-4 to this report</w:t>
      </w:r>
      <w:r w:rsidR="00624EB3" w:rsidRPr="002D7635">
        <w:t>.</w:t>
      </w:r>
      <w:r w:rsidR="00624EB3" w:rsidRPr="00624EB3">
        <w:t xml:space="preserve"> </w:t>
      </w:r>
      <w:r w:rsidR="00420EB5">
        <w:t>The</w:t>
      </w:r>
      <w:r w:rsidR="00CD5CC9">
        <w:t xml:space="preserve"> </w:t>
      </w:r>
      <w:r w:rsidR="00420EB5">
        <w:t xml:space="preserve">mandatory </w:t>
      </w:r>
      <w:r w:rsidR="00CD5CC9">
        <w:t xml:space="preserve">requirements </w:t>
      </w:r>
      <w:r w:rsidR="000A5B0E">
        <w:t xml:space="preserve">under Standard 1.5.3 </w:t>
      </w:r>
      <w:r w:rsidR="00CD5CC9">
        <w:t xml:space="preserve">to </w:t>
      </w:r>
      <w:r w:rsidR="00420EB5">
        <w:t xml:space="preserve">label irradiated foods </w:t>
      </w:r>
      <w:r w:rsidR="00CD5CC9">
        <w:t>(</w:t>
      </w:r>
      <w:r w:rsidR="00420EB5">
        <w:t xml:space="preserve">as discussed in Section </w:t>
      </w:r>
      <w:r w:rsidR="00624EB3">
        <w:t>4.</w:t>
      </w:r>
      <w:r w:rsidR="00420EB5">
        <w:t>1 above</w:t>
      </w:r>
      <w:r w:rsidR="00CD5CC9">
        <w:t>)</w:t>
      </w:r>
      <w:r w:rsidR="00420EB5">
        <w:t xml:space="preserve"> </w:t>
      </w:r>
      <w:r w:rsidR="000A5B0E">
        <w:t xml:space="preserve">provide adequate information </w:t>
      </w:r>
      <w:r w:rsidR="003218E1">
        <w:t>to</w:t>
      </w:r>
      <w:r w:rsidR="00420EB5" w:rsidDel="000A5B0E">
        <w:t xml:space="preserve"> enable </w:t>
      </w:r>
      <w:r w:rsidR="00420EB5">
        <w:t xml:space="preserve">consumers to make informed </w:t>
      </w:r>
      <w:r w:rsidR="003218E1">
        <w:t>choices.</w:t>
      </w:r>
      <w:r w:rsidR="000A5B0E">
        <w:t xml:space="preserve"> </w:t>
      </w:r>
    </w:p>
    <w:p w14:paraId="5A0804B8" w14:textId="4E906BF3" w:rsidR="002C1A3B" w:rsidRPr="002C1A3B" w:rsidRDefault="00D17B27" w:rsidP="00D17B27">
      <w:pPr>
        <w:pStyle w:val="Heading3"/>
      </w:pPr>
      <w:bookmarkStart w:id="260" w:name="_Toc65149719"/>
      <w:bookmarkStart w:id="261" w:name="_Toc65507100"/>
      <w:bookmarkStart w:id="262" w:name="_Toc65684165"/>
      <w:bookmarkStart w:id="263" w:name="_Toc71204392"/>
      <w:r>
        <w:t>6</w:t>
      </w:r>
      <w:r w:rsidR="002C1A3B" w:rsidRPr="002C1A3B">
        <w:t>.2.3</w:t>
      </w:r>
      <w:r w:rsidR="002C1A3B" w:rsidRPr="002C1A3B">
        <w:tab/>
        <w:t>The prevention of misleading or deceptive conduct</w:t>
      </w:r>
      <w:bookmarkEnd w:id="258"/>
      <w:bookmarkEnd w:id="259"/>
      <w:bookmarkEnd w:id="260"/>
      <w:bookmarkEnd w:id="261"/>
      <w:bookmarkEnd w:id="262"/>
      <w:bookmarkEnd w:id="263"/>
    </w:p>
    <w:p w14:paraId="4A510219" w14:textId="37606C6C" w:rsidR="00420EB5" w:rsidRPr="00C655BA" w:rsidRDefault="00FC7586" w:rsidP="00420EB5">
      <w:bookmarkStart w:id="264" w:name="_Toc300761901"/>
      <w:bookmarkStart w:id="265" w:name="_Toc300933444"/>
      <w:bookmarkStart w:id="266" w:name="_Toc370223480"/>
      <w:bookmarkStart w:id="267" w:name="_Toc370225395"/>
      <w:r>
        <w:t xml:space="preserve">This </w:t>
      </w:r>
      <w:r w:rsidR="00345D4E">
        <w:t xml:space="preserve">issue </w:t>
      </w:r>
      <w:r>
        <w:t xml:space="preserve">is addressed </w:t>
      </w:r>
      <w:r w:rsidRPr="00624EB3">
        <w:t xml:space="preserve">in </w:t>
      </w:r>
      <w:r w:rsidRPr="002D7635">
        <w:t>Table 3</w:t>
      </w:r>
      <w:r>
        <w:t xml:space="preserve"> (see issue </w:t>
      </w:r>
      <w:r w:rsidR="007C7E29">
        <w:t>1</w:t>
      </w:r>
      <w:r>
        <w:t>8 of that Tab</w:t>
      </w:r>
      <w:r w:rsidR="007C7E29">
        <w:t>le).</w:t>
      </w:r>
    </w:p>
    <w:p w14:paraId="0FBBAFA5" w14:textId="4086F628" w:rsidR="002C1A3B" w:rsidRPr="002C1A3B" w:rsidRDefault="00D17B27" w:rsidP="00D17B27">
      <w:pPr>
        <w:pStyle w:val="Heading2"/>
        <w:rPr>
          <w:lang w:eastAsia="en-AU"/>
        </w:rPr>
      </w:pPr>
      <w:bookmarkStart w:id="268" w:name="_Toc65149720"/>
      <w:bookmarkStart w:id="269" w:name="_Toc65507101"/>
      <w:bookmarkStart w:id="270" w:name="_Toc65684166"/>
      <w:bookmarkStart w:id="271" w:name="_Toc71204393"/>
      <w:r>
        <w:rPr>
          <w:lang w:eastAsia="en-AU"/>
        </w:rPr>
        <w:t>6</w:t>
      </w:r>
      <w:r w:rsidR="002C1A3B" w:rsidRPr="002C1A3B">
        <w:rPr>
          <w:lang w:eastAsia="en-AU"/>
        </w:rPr>
        <w:t>.3</w:t>
      </w:r>
      <w:r w:rsidR="002C1A3B" w:rsidRPr="002C1A3B">
        <w:rPr>
          <w:lang w:eastAsia="en-AU"/>
        </w:rPr>
        <w:tab/>
        <w:t xml:space="preserve">Subsection 18(2) </w:t>
      </w:r>
      <w:bookmarkEnd w:id="264"/>
      <w:bookmarkEnd w:id="265"/>
      <w:r w:rsidR="002C1A3B" w:rsidRPr="002C1A3B">
        <w:rPr>
          <w:lang w:eastAsia="en-AU"/>
        </w:rPr>
        <w:t>considerations</w:t>
      </w:r>
      <w:bookmarkEnd w:id="266"/>
      <w:bookmarkEnd w:id="267"/>
      <w:bookmarkEnd w:id="268"/>
      <w:bookmarkEnd w:id="269"/>
      <w:bookmarkEnd w:id="270"/>
      <w:bookmarkEnd w:id="271"/>
    </w:p>
    <w:p w14:paraId="2E4E18FF" w14:textId="77777777" w:rsidR="002C1A3B" w:rsidRPr="002C1A3B" w:rsidRDefault="002C1A3B" w:rsidP="002C1A3B">
      <w:pPr>
        <w:rPr>
          <w:rFonts w:cs="Arial"/>
        </w:rPr>
      </w:pPr>
      <w:r w:rsidRPr="002C1A3B">
        <w:rPr>
          <w:rFonts w:cs="Arial"/>
        </w:rPr>
        <w:t>FSANZ has also had regard to:</w:t>
      </w:r>
    </w:p>
    <w:p w14:paraId="0521BBA1" w14:textId="77777777" w:rsidR="002C1A3B" w:rsidRPr="002C1A3B" w:rsidRDefault="002C1A3B" w:rsidP="002C1A3B">
      <w:pPr>
        <w:rPr>
          <w:rFonts w:cs="Arial"/>
        </w:rPr>
      </w:pPr>
    </w:p>
    <w:p w14:paraId="7A27C82B"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6337166A" w14:textId="77777777" w:rsidR="002C1A3B" w:rsidRPr="002C1A3B" w:rsidRDefault="002C1A3B" w:rsidP="002C1A3B">
      <w:pPr>
        <w:rPr>
          <w:lang w:bidi="ar-SA"/>
        </w:rPr>
      </w:pPr>
    </w:p>
    <w:p w14:paraId="3314D64D" w14:textId="42FB0669" w:rsidR="00420EB5" w:rsidRDefault="00420EB5" w:rsidP="00420EB5">
      <w:r>
        <w:t>FSANZ used the best available scientific evidence to conduct t</w:t>
      </w:r>
      <w:r w:rsidR="008D6182">
        <w:t>he risk analysis detailed in SD</w:t>
      </w:r>
      <w:r>
        <w:t>1 – the Risk and Technical Assessment Report. The applicant submitted a dossier of information and scientific literature as part of the application. FSANZ also referred to a substantial amount of other technical and scientific information in assessing the application.</w:t>
      </w:r>
    </w:p>
    <w:p w14:paraId="416E27F5" w14:textId="77777777" w:rsidR="00420EB5" w:rsidRDefault="00420EB5" w:rsidP="00420EB5"/>
    <w:p w14:paraId="39FFAFA1" w14:textId="26143EE5" w:rsidR="00420EB5" w:rsidRDefault="00420EB5" w:rsidP="00420EB5">
      <w:r>
        <w:t xml:space="preserve">In particular, FSANZ </w:t>
      </w:r>
      <w:r w:rsidR="00975F11">
        <w:t>has</w:t>
      </w:r>
      <w:r>
        <w:t xml:space="preserve"> previously assessed and characterised the risk from consumption of irradiated fruit and vegetables, as part of its assessment of applications submitted to </w:t>
      </w:r>
      <w:r w:rsidR="00975F11">
        <w:t>the agency</w:t>
      </w:r>
      <w:r>
        <w:t xml:space="preserve"> since 2002</w:t>
      </w:r>
      <w:r w:rsidR="001B7060">
        <w:t xml:space="preserve"> and its 2014 </w:t>
      </w:r>
      <w:r w:rsidR="004A48C9">
        <w:t>r</w:t>
      </w:r>
      <w:r w:rsidR="001B7060">
        <w:t>eview</w:t>
      </w:r>
      <w:r>
        <w:t xml:space="preserve">. Collectively, these risk assessments considered all of the relevant information that was available at the time (national and international), including animal toxicity and nutrition data relating to the safety and nutritional adequacy of irradiated foods. </w:t>
      </w:r>
    </w:p>
    <w:p w14:paraId="21019439" w14:textId="77777777" w:rsidR="00420EB5" w:rsidRDefault="00420EB5" w:rsidP="00420EB5"/>
    <w:p w14:paraId="729635BC" w14:textId="4824EA4F" w:rsidR="000F58C0" w:rsidRDefault="00420EB5" w:rsidP="00420EB5">
      <w:r>
        <w:t xml:space="preserve">For this application, FSANZ evaluated the scientific literature published </w:t>
      </w:r>
      <w:r w:rsidR="00975F11">
        <w:t>subsequent to</w:t>
      </w:r>
      <w:r>
        <w:t xml:space="preserve"> previous assessments and </w:t>
      </w:r>
      <w:r w:rsidR="001B7060">
        <w:t>the</w:t>
      </w:r>
      <w:r>
        <w:t xml:space="preserve"> 2014 </w:t>
      </w:r>
      <w:r w:rsidR="004A48C9">
        <w:t>r</w:t>
      </w:r>
      <w:r>
        <w:t>eview. The current assessment focussed on two irradiation-sensitive micronutrients relevant to fruit and vegetables – vitamin</w:t>
      </w:r>
      <w:r w:rsidR="001B7060">
        <w:t> </w:t>
      </w:r>
      <w:r>
        <w:t>C and β-carotene, and on three categories of vegetables that were not previously assessed by FSANZ – Brassicas, leafy vegetables and roots and tubers.</w:t>
      </w:r>
    </w:p>
    <w:p w14:paraId="70D5D91C" w14:textId="77777777" w:rsidR="000F58C0" w:rsidRDefault="000F58C0" w:rsidP="00420EB5"/>
    <w:p w14:paraId="54A0154A" w14:textId="2FA42301" w:rsidR="00420EB5" w:rsidRDefault="000F58C0" w:rsidP="00420EB5">
      <w:r>
        <w:t>During the public consultation period, submitters provided references to a number of studies and other literature on various safety and nutritional aspects of food irradiation</w:t>
      </w:r>
      <w:r w:rsidR="001F4F7D">
        <w:t>, for the consideration of FSANZ</w:t>
      </w:r>
      <w:r>
        <w:t xml:space="preserve">. </w:t>
      </w:r>
      <w:r w:rsidRPr="000F58C0">
        <w:t xml:space="preserve">These have been addressed in Table </w:t>
      </w:r>
      <w:r w:rsidR="002D7635">
        <w:t>3</w:t>
      </w:r>
      <w:r w:rsidR="00B9210F">
        <w:t xml:space="preserve"> and </w:t>
      </w:r>
      <w:r w:rsidR="00B9210F" w:rsidRPr="00A50A70">
        <w:t>Appendices 2-</w:t>
      </w:r>
      <w:r w:rsidRPr="00A50A70">
        <w:t>4</w:t>
      </w:r>
      <w:r w:rsidRPr="000F58C0">
        <w:t xml:space="preserve">. </w:t>
      </w:r>
      <w:r w:rsidR="001F4F7D">
        <w:t xml:space="preserve">FSANZ has determined that </w:t>
      </w:r>
      <w:r w:rsidR="005F525D">
        <w:t>the additional studies and information do not alter</w:t>
      </w:r>
      <w:r w:rsidR="001F4F7D">
        <w:t xml:space="preserve"> </w:t>
      </w:r>
      <w:r w:rsidRPr="000F58C0">
        <w:t xml:space="preserve">the </w:t>
      </w:r>
      <w:r w:rsidR="005F525D">
        <w:t>conclusions</w:t>
      </w:r>
      <w:r w:rsidR="005F525D" w:rsidRPr="000F58C0">
        <w:t xml:space="preserve"> </w:t>
      </w:r>
      <w:r w:rsidRPr="000F58C0">
        <w:t xml:space="preserve">of the risk and technical assessment. </w:t>
      </w:r>
      <w:r w:rsidR="00446774" w:rsidRPr="00446774">
        <w:t xml:space="preserve">FSANZ has however clarified that the risk assessment conclusions are valid in the </w:t>
      </w:r>
      <w:r w:rsidR="005F525D">
        <w:t>context</w:t>
      </w:r>
      <w:r w:rsidR="005F525D" w:rsidRPr="00446774">
        <w:t xml:space="preserve"> </w:t>
      </w:r>
      <w:r w:rsidR="00446774" w:rsidRPr="00446774">
        <w:t xml:space="preserve">of </w:t>
      </w:r>
      <w:r w:rsidR="005F525D">
        <w:t>the</w:t>
      </w:r>
      <w:r w:rsidR="005F525D" w:rsidRPr="00446774">
        <w:t xml:space="preserve"> </w:t>
      </w:r>
      <w:r w:rsidR="00446774" w:rsidRPr="00446774">
        <w:t xml:space="preserve">small proportion of </w:t>
      </w:r>
      <w:r w:rsidR="005F525D">
        <w:t>fresh fruit and vegetables</w:t>
      </w:r>
      <w:r w:rsidR="00446774" w:rsidRPr="00446774">
        <w:t xml:space="preserve"> </w:t>
      </w:r>
      <w:r w:rsidR="005F525D">
        <w:t>likely to be</w:t>
      </w:r>
      <w:r w:rsidR="005F525D" w:rsidRPr="00446774">
        <w:t xml:space="preserve"> </w:t>
      </w:r>
      <w:r w:rsidR="00446774" w:rsidRPr="00446774">
        <w:t xml:space="preserve">irradiated. </w:t>
      </w:r>
    </w:p>
    <w:p w14:paraId="34133874" w14:textId="77777777" w:rsidR="002C1A3B" w:rsidRPr="002C1A3B" w:rsidRDefault="002C1A3B" w:rsidP="002C1A3B">
      <w:pPr>
        <w:rPr>
          <w:lang w:bidi="ar-SA"/>
        </w:rPr>
      </w:pPr>
    </w:p>
    <w:p w14:paraId="60698870" w14:textId="77777777" w:rsidR="002C1A3B" w:rsidRPr="002C1A3B" w:rsidRDefault="002C1A3B" w:rsidP="002C1A3B">
      <w:pPr>
        <w:pStyle w:val="FSBullet1"/>
        <w:rPr>
          <w:b/>
        </w:rPr>
      </w:pPr>
      <w:r w:rsidRPr="002C1A3B">
        <w:rPr>
          <w:b/>
        </w:rPr>
        <w:t>the promotion of consistency between domestic and international food standards</w:t>
      </w:r>
    </w:p>
    <w:p w14:paraId="4BA429C5" w14:textId="77777777" w:rsidR="002C1A3B" w:rsidRPr="002C1A3B" w:rsidRDefault="002C1A3B" w:rsidP="002C1A3B">
      <w:pPr>
        <w:rPr>
          <w:lang w:bidi="ar-SA"/>
        </w:rPr>
      </w:pPr>
    </w:p>
    <w:p w14:paraId="47CFF7C2" w14:textId="268306DE" w:rsidR="00345D4E" w:rsidRDefault="00345D4E" w:rsidP="00345D4E">
      <w:pPr>
        <w:rPr>
          <w:lang w:bidi="ar-SA"/>
        </w:rPr>
      </w:pPr>
      <w:r>
        <w:rPr>
          <w:lang w:bidi="ar-SA"/>
        </w:rPr>
        <w:t xml:space="preserve">Permitting irradiation of </w:t>
      </w:r>
      <w:r w:rsidRPr="00910483">
        <w:t>fresh fruit and vegetables</w:t>
      </w:r>
      <w:r>
        <w:t xml:space="preserve"> for phytosanitary purposes</w:t>
      </w:r>
      <w:r>
        <w:rPr>
          <w:lang w:bidi="ar-SA"/>
        </w:rPr>
        <w:t xml:space="preserve"> will promote consistency between domestic and international food standards. </w:t>
      </w:r>
      <w:r>
        <w:t xml:space="preserve">Specifically, this generic approval will bring Standard 1.5.3 of the Code more into line with the Codex General Standard for Irradiated Foods and with regulations that already exist in other countries that participate in the international trade of irradiated produce. </w:t>
      </w:r>
    </w:p>
    <w:p w14:paraId="3B739AF7" w14:textId="77777777" w:rsidR="00345D4E" w:rsidRDefault="00345D4E" w:rsidP="00420EB5">
      <w:pPr>
        <w:rPr>
          <w:rFonts w:eastAsia="Arial Unicode MS"/>
          <w:bCs/>
          <w:szCs w:val="22"/>
        </w:rPr>
      </w:pPr>
    </w:p>
    <w:p w14:paraId="205AF3BF" w14:textId="0DDF098D" w:rsidR="00BF263D" w:rsidRDefault="00420EB5" w:rsidP="002C1A3B">
      <w:pPr>
        <w:rPr>
          <w:rFonts w:eastAsia="Arial Unicode MS"/>
          <w:bCs/>
          <w:szCs w:val="22"/>
        </w:rPr>
      </w:pPr>
      <w:r>
        <w:rPr>
          <w:rFonts w:eastAsia="Arial Unicode MS"/>
          <w:bCs/>
          <w:szCs w:val="22"/>
        </w:rPr>
        <w:lastRenderedPageBreak/>
        <w:t xml:space="preserve">Internationally, food irradiation is approved in more than 60 countries. </w:t>
      </w:r>
      <w:r w:rsidR="001F4F7D" w:rsidRPr="001F4F7D">
        <w:rPr>
          <w:rFonts w:eastAsia="Arial Unicode MS"/>
          <w:bCs/>
          <w:szCs w:val="22"/>
        </w:rPr>
        <w:t xml:space="preserve">The applicant indicates that there are now at least 15 countries trading in irradiated produce. </w:t>
      </w:r>
      <w:r>
        <w:rPr>
          <w:rFonts w:eastAsia="Arial Unicode MS"/>
          <w:bCs/>
          <w:szCs w:val="22"/>
        </w:rPr>
        <w:t xml:space="preserve">Permissions vary considerably in different parts of the world and are based on either a case-by-case approach or the generic approach established by Codex (see Section </w:t>
      </w:r>
      <w:r w:rsidR="002611B5">
        <w:rPr>
          <w:rFonts w:eastAsia="Arial Unicode MS"/>
          <w:bCs/>
          <w:szCs w:val="22"/>
        </w:rPr>
        <w:t>1.4</w:t>
      </w:r>
      <w:r>
        <w:rPr>
          <w:rFonts w:eastAsia="Arial Unicode MS"/>
          <w:bCs/>
          <w:szCs w:val="22"/>
        </w:rPr>
        <w:t xml:space="preserve"> above). Many countries that permit irradiation of foods have taken the generic approach of permitting irradiation as a phytosanitary measure for all fresh fruit and vegetables on the basis that it is a proven safe and efficacious treatment. </w:t>
      </w:r>
      <w:r w:rsidR="005A45FA">
        <w:rPr>
          <w:rFonts w:eastAsia="Arial Unicode MS"/>
          <w:bCs/>
          <w:szCs w:val="22"/>
        </w:rPr>
        <w:t xml:space="preserve">As shown in </w:t>
      </w:r>
      <w:r w:rsidR="00AF38B0">
        <w:rPr>
          <w:rFonts w:eastAsia="Arial Unicode MS"/>
          <w:bCs/>
          <w:szCs w:val="22"/>
        </w:rPr>
        <w:fldChar w:fldCharType="begin"/>
      </w:r>
      <w:r w:rsidR="00AF38B0">
        <w:rPr>
          <w:rFonts w:eastAsia="Arial Unicode MS"/>
          <w:bCs/>
          <w:szCs w:val="22"/>
        </w:rPr>
        <w:instrText xml:space="preserve"> REF _Ref65681589 \h </w:instrText>
      </w:r>
      <w:r w:rsidR="00AF38B0">
        <w:rPr>
          <w:rFonts w:eastAsia="Arial Unicode MS"/>
          <w:bCs/>
          <w:szCs w:val="22"/>
        </w:rPr>
      </w:r>
      <w:r w:rsidR="00AF38B0">
        <w:rPr>
          <w:rFonts w:eastAsia="Arial Unicode MS"/>
          <w:bCs/>
          <w:szCs w:val="22"/>
        </w:rPr>
        <w:fldChar w:fldCharType="separate"/>
      </w:r>
      <w:r w:rsidR="00A67B9C">
        <w:t xml:space="preserve">Appendix </w:t>
      </w:r>
      <w:r w:rsidR="00A67B9C">
        <w:rPr>
          <w:noProof/>
        </w:rPr>
        <w:t>1</w:t>
      </w:r>
      <w:r w:rsidR="00AF38B0">
        <w:rPr>
          <w:rFonts w:eastAsia="Arial Unicode MS"/>
          <w:bCs/>
          <w:szCs w:val="22"/>
        </w:rPr>
        <w:fldChar w:fldCharType="end"/>
      </w:r>
      <w:r w:rsidR="005A45FA">
        <w:rPr>
          <w:rFonts w:eastAsia="Arial Unicode MS"/>
          <w:bCs/>
          <w:szCs w:val="22"/>
        </w:rPr>
        <w:t>, Australia and New Zealand’s major trading partners have permitted the irradiation of fresh fruit and vegetables</w:t>
      </w:r>
      <w:r w:rsidR="008B3E27">
        <w:rPr>
          <w:rFonts w:eastAsia="Arial Unicode MS"/>
          <w:bCs/>
          <w:szCs w:val="22"/>
        </w:rPr>
        <w:t>.</w:t>
      </w:r>
    </w:p>
    <w:p w14:paraId="2389CB81" w14:textId="77777777" w:rsidR="00334E97" w:rsidRPr="002C1A3B" w:rsidRDefault="00334E97" w:rsidP="002C1A3B">
      <w:pPr>
        <w:rPr>
          <w:lang w:bidi="ar-SA"/>
        </w:rPr>
      </w:pPr>
    </w:p>
    <w:p w14:paraId="592E8CF0" w14:textId="77777777" w:rsidR="002C1A3B" w:rsidRPr="002C1A3B" w:rsidRDefault="002C1A3B" w:rsidP="002C1A3B">
      <w:pPr>
        <w:pStyle w:val="FSBullet1"/>
        <w:rPr>
          <w:b/>
        </w:rPr>
      </w:pPr>
      <w:r w:rsidRPr="002C1A3B">
        <w:rPr>
          <w:b/>
        </w:rPr>
        <w:t>the desirability of an efficient and internationally competitive food industry</w:t>
      </w:r>
    </w:p>
    <w:p w14:paraId="69E1C899" w14:textId="77777777" w:rsidR="002C1A3B" w:rsidRPr="002C1A3B" w:rsidRDefault="002C1A3B" w:rsidP="002C1A3B">
      <w:pPr>
        <w:rPr>
          <w:lang w:bidi="ar-SA"/>
        </w:rPr>
      </w:pPr>
    </w:p>
    <w:p w14:paraId="15D12285" w14:textId="7FE46E3B" w:rsidR="00975F11" w:rsidRDefault="00975F11" w:rsidP="00975F11">
      <w:r>
        <w:t xml:space="preserve">As noted above, </w:t>
      </w:r>
      <w:r w:rsidR="00345D4E">
        <w:rPr>
          <w:lang w:bidi="ar-SA"/>
        </w:rPr>
        <w:t xml:space="preserve">permitting irradiation of </w:t>
      </w:r>
      <w:r w:rsidR="00345D4E" w:rsidRPr="00910483">
        <w:t>fresh fruit and vegetables</w:t>
      </w:r>
      <w:r w:rsidR="00345D4E">
        <w:t xml:space="preserve"> for phytosanitary purposes</w:t>
      </w:r>
      <w:r w:rsidR="00345D4E">
        <w:rPr>
          <w:lang w:bidi="ar-SA"/>
        </w:rPr>
        <w:t xml:space="preserve"> </w:t>
      </w:r>
      <w:r>
        <w:t>will</w:t>
      </w:r>
      <w:r w:rsidR="009501E3">
        <w:t xml:space="preserve"> promote consistency </w:t>
      </w:r>
      <w:r w:rsidR="005A45FA">
        <w:t xml:space="preserve">between </w:t>
      </w:r>
      <w:r>
        <w:t xml:space="preserve">Australian and New Zealand regulations with </w:t>
      </w:r>
      <w:r w:rsidR="005A45FA">
        <w:t xml:space="preserve">those </w:t>
      </w:r>
      <w:r>
        <w:t xml:space="preserve">of current and potential trading partners. </w:t>
      </w:r>
      <w:r>
        <w:rPr>
          <w:lang w:bidi="ar-SA"/>
        </w:rPr>
        <w:t xml:space="preserve">This will strengthen Australia’s and New Zealand’s positions as international trading partners, support trade negotiations, and reduce barriers to trade. This in turn will increase the efficiency and international competiveness of </w:t>
      </w:r>
      <w:r w:rsidR="005A45FA">
        <w:rPr>
          <w:lang w:bidi="ar-SA"/>
        </w:rPr>
        <w:t xml:space="preserve">the respective </w:t>
      </w:r>
      <w:r>
        <w:rPr>
          <w:lang w:bidi="ar-SA"/>
        </w:rPr>
        <w:t xml:space="preserve">horticultural industries. </w:t>
      </w:r>
      <w:r>
        <w:t xml:space="preserve">Approval will also support trans-Tasman trade </w:t>
      </w:r>
      <w:r w:rsidR="00D176DE">
        <w:t xml:space="preserve">with irradiation </w:t>
      </w:r>
      <w:r>
        <w:t xml:space="preserve">as </w:t>
      </w:r>
      <w:r w:rsidR="005A45FA">
        <w:t xml:space="preserve">an </w:t>
      </w:r>
      <w:r>
        <w:t xml:space="preserve">important alternative quarantine measure. </w:t>
      </w:r>
    </w:p>
    <w:p w14:paraId="13260F5A" w14:textId="77777777" w:rsidR="00975F11" w:rsidRDefault="00975F11" w:rsidP="00975F11">
      <w:pPr>
        <w:rPr>
          <w:lang w:bidi="ar-SA"/>
        </w:rPr>
      </w:pPr>
    </w:p>
    <w:p w14:paraId="3627AAAA" w14:textId="52CA64E6" w:rsidR="00975F11" w:rsidRDefault="00975F11" w:rsidP="00975F11">
      <w:pPr>
        <w:rPr>
          <w:lang w:bidi="ar-SA"/>
        </w:rPr>
      </w:pPr>
      <w:r>
        <w:rPr>
          <w:lang w:bidi="ar-SA"/>
        </w:rPr>
        <w:t xml:space="preserve">Several </w:t>
      </w:r>
      <w:r w:rsidR="009501E3">
        <w:rPr>
          <w:lang w:bidi="ar-SA"/>
        </w:rPr>
        <w:t xml:space="preserve">significant </w:t>
      </w:r>
      <w:r>
        <w:rPr>
          <w:lang w:bidi="ar-SA"/>
        </w:rPr>
        <w:t>benefits to the horticultural industry that can be achieved thr</w:t>
      </w:r>
      <w:r w:rsidR="009501E3">
        <w:rPr>
          <w:lang w:bidi="ar-SA"/>
        </w:rPr>
        <w:t>ough a harmonised approach are as follows</w:t>
      </w:r>
      <w:r>
        <w:rPr>
          <w:lang w:bidi="ar-SA"/>
        </w:rPr>
        <w:t>:</w:t>
      </w:r>
    </w:p>
    <w:p w14:paraId="2ACB13BA" w14:textId="77777777" w:rsidR="00975F11" w:rsidRDefault="00975F11" w:rsidP="00975F11">
      <w:pPr>
        <w:rPr>
          <w:lang w:bidi="ar-SA"/>
        </w:rPr>
      </w:pPr>
    </w:p>
    <w:p w14:paraId="4BC0837D" w14:textId="7438E138" w:rsidR="00975F11" w:rsidRDefault="00975F11" w:rsidP="00E01B62">
      <w:pPr>
        <w:pStyle w:val="ListParagraph"/>
        <w:numPr>
          <w:ilvl w:val="0"/>
          <w:numId w:val="10"/>
        </w:numPr>
        <w:rPr>
          <w:lang w:bidi="ar-SA"/>
        </w:rPr>
      </w:pPr>
      <w:r>
        <w:rPr>
          <w:lang w:bidi="ar-SA"/>
        </w:rPr>
        <w:t xml:space="preserve">The use of some phytosanitary treatments involving chemicals such as MeBr or insecticides such as dimethoate is becoming more restricted or is being phased-out; MeBr is listed as an ozone-depleting substance subject to phase-out provisions in the Montreal Protocol. By harmonising regulations, Australia and New Zealand will be able to employ irradiation as a suitable and effective substitute for these treatments that meets rigorous quarantine requirements.  </w:t>
      </w:r>
    </w:p>
    <w:p w14:paraId="33811FBD" w14:textId="77777777" w:rsidR="00975F11" w:rsidRDefault="00975F11" w:rsidP="00975F11">
      <w:pPr>
        <w:pStyle w:val="ListParagraph"/>
        <w:ind w:left="1080"/>
        <w:rPr>
          <w:lang w:bidi="ar-SA"/>
        </w:rPr>
      </w:pPr>
    </w:p>
    <w:p w14:paraId="7BAB5A84" w14:textId="77777777" w:rsidR="00975F11" w:rsidRDefault="00975F11" w:rsidP="00E01B62">
      <w:pPr>
        <w:pStyle w:val="ListParagraph"/>
        <w:numPr>
          <w:ilvl w:val="0"/>
          <w:numId w:val="10"/>
        </w:numPr>
        <w:rPr>
          <w:lang w:bidi="ar-SA"/>
        </w:rPr>
      </w:pPr>
      <w:r>
        <w:rPr>
          <w:lang w:bidi="ar-SA"/>
        </w:rPr>
        <w:t xml:space="preserve">There will be more capacity to enter into reciprocal trading arrangements and, as such, better access to new markets. It is not helpful to trade negotiations if trading partners accept certain irradiated fresh products from Australia (as one of the main exporters of irradiated produce), when Australia does not, especially if the crops they seek to import into Australia are of economic importance to their country. </w:t>
      </w:r>
    </w:p>
    <w:p w14:paraId="77BC7761" w14:textId="77777777" w:rsidR="00975F11" w:rsidRDefault="00975F11" w:rsidP="00975F11">
      <w:pPr>
        <w:pStyle w:val="ListParagraph"/>
        <w:ind w:left="1440"/>
        <w:rPr>
          <w:lang w:bidi="ar-SA"/>
        </w:rPr>
      </w:pPr>
    </w:p>
    <w:p w14:paraId="143CC724" w14:textId="77777777" w:rsidR="00975F11" w:rsidRDefault="00975F11" w:rsidP="00E01B62">
      <w:pPr>
        <w:pStyle w:val="ListParagraph"/>
        <w:numPr>
          <w:ilvl w:val="0"/>
          <w:numId w:val="10"/>
        </w:numPr>
        <w:rPr>
          <w:lang w:bidi="ar-SA"/>
        </w:rPr>
      </w:pPr>
      <w:r>
        <w:rPr>
          <w:lang w:bidi="ar-SA"/>
        </w:rPr>
        <w:t xml:space="preserve">A consistent approach to domestic and international food standards will enable irradiation to be rapidly employed as a temporary emergency measure when a pest incursion is suspected. </w:t>
      </w:r>
    </w:p>
    <w:p w14:paraId="7AB07023" w14:textId="77777777" w:rsidR="00975F11" w:rsidRDefault="00975F11" w:rsidP="00975F11">
      <w:pPr>
        <w:pStyle w:val="ListParagraph"/>
        <w:ind w:left="1440"/>
        <w:rPr>
          <w:lang w:bidi="ar-SA"/>
        </w:rPr>
      </w:pPr>
    </w:p>
    <w:p w14:paraId="5DCAFA88" w14:textId="1380C09D" w:rsidR="00975F11" w:rsidRDefault="009501E3" w:rsidP="00E01B62">
      <w:pPr>
        <w:pStyle w:val="ListParagraph"/>
        <w:numPr>
          <w:ilvl w:val="0"/>
          <w:numId w:val="10"/>
        </w:numPr>
        <w:rPr>
          <w:lang w:bidi="ar-SA"/>
        </w:rPr>
      </w:pPr>
      <w:r>
        <w:rPr>
          <w:lang w:bidi="ar-SA"/>
        </w:rPr>
        <w:t xml:space="preserve">Operating under harmonised </w:t>
      </w:r>
      <w:r w:rsidR="00975F11">
        <w:rPr>
          <w:lang w:bidi="ar-SA"/>
        </w:rPr>
        <w:t>regulations</w:t>
      </w:r>
      <w:r>
        <w:rPr>
          <w:lang w:bidi="ar-SA"/>
        </w:rPr>
        <w:t>,</w:t>
      </w:r>
      <w:r w:rsidR="00975F11">
        <w:rPr>
          <w:lang w:bidi="ar-SA"/>
        </w:rPr>
        <w:t xml:space="preserve"> Australia and New Zealand will have the capacity to deliver a more timely response to new trade opportunities. </w:t>
      </w:r>
    </w:p>
    <w:p w14:paraId="4EFA0B26" w14:textId="77777777" w:rsidR="00975F11" w:rsidRDefault="00975F11" w:rsidP="00975F11"/>
    <w:p w14:paraId="698A7F2D" w14:textId="31822749" w:rsidR="00975F11" w:rsidRDefault="00975F11" w:rsidP="00975F11">
      <w:pPr>
        <w:rPr>
          <w:lang w:bidi="ar-SA"/>
        </w:rPr>
      </w:pPr>
      <w:r w:rsidRPr="00921427">
        <w:rPr>
          <w:lang w:bidi="ar-SA"/>
        </w:rPr>
        <w:t xml:space="preserve">The conclusion of the risk assessment is that </w:t>
      </w:r>
      <w:r w:rsidR="00921427" w:rsidRPr="00921427">
        <w:t xml:space="preserve">based on </w:t>
      </w:r>
      <w:r w:rsidR="00D176DE">
        <w:t xml:space="preserve">the </w:t>
      </w:r>
      <w:r w:rsidR="00F20051">
        <w:t>best available</w:t>
      </w:r>
      <w:r w:rsidR="00910483">
        <w:t xml:space="preserve"> </w:t>
      </w:r>
      <w:r w:rsidR="00921427" w:rsidRPr="00921427">
        <w:t xml:space="preserve">evidence </w:t>
      </w:r>
      <w:r w:rsidRPr="00921427">
        <w:rPr>
          <w:lang w:bidi="ar-SA"/>
        </w:rPr>
        <w:t>there are no public health and safety concerns associated with the consumption of fresh fruit and vegetables that have been irradiated at doses of up to 1 kGy.</w:t>
      </w:r>
      <w:r>
        <w:rPr>
          <w:lang w:bidi="ar-SA"/>
        </w:rPr>
        <w:t xml:space="preserve"> It is therefore appropriate that the Australian and New Zealand horticultural industry </w:t>
      </w:r>
      <w:r w:rsidR="009501E3">
        <w:rPr>
          <w:lang w:bidi="ar-SA"/>
        </w:rPr>
        <w:t>be</w:t>
      </w:r>
      <w:r>
        <w:rPr>
          <w:lang w:bidi="ar-SA"/>
        </w:rPr>
        <w:t xml:space="preserve"> given the opportunity to benefit from the use of this alternative phytosanitary measure. Ultimately, horticultural businesses will make their own economic decisions, taking into account the costs and benefits of using irradiation as a treatment option, to determine if it is of overall benefit to their particular business.</w:t>
      </w:r>
    </w:p>
    <w:p w14:paraId="5534CA22" w14:textId="77777777" w:rsidR="002C1A3B" w:rsidRPr="002C1A3B" w:rsidRDefault="002C1A3B" w:rsidP="002C1A3B">
      <w:pPr>
        <w:rPr>
          <w:lang w:bidi="ar-SA"/>
        </w:rPr>
      </w:pPr>
    </w:p>
    <w:p w14:paraId="653B5F5A" w14:textId="77777777" w:rsidR="002C1A3B" w:rsidRPr="002C1A3B" w:rsidRDefault="002C1A3B" w:rsidP="002C1A3B">
      <w:pPr>
        <w:pStyle w:val="FSBullet1"/>
        <w:rPr>
          <w:b/>
        </w:rPr>
      </w:pPr>
      <w:r w:rsidRPr="002C1A3B">
        <w:rPr>
          <w:b/>
        </w:rPr>
        <w:t>the promotion of fair trading in food</w:t>
      </w:r>
    </w:p>
    <w:p w14:paraId="31C5FA34" w14:textId="77777777" w:rsidR="002C1A3B" w:rsidRPr="002C1A3B" w:rsidRDefault="002C1A3B" w:rsidP="002C1A3B">
      <w:pPr>
        <w:rPr>
          <w:lang w:bidi="ar-SA"/>
        </w:rPr>
      </w:pPr>
    </w:p>
    <w:p w14:paraId="4CCF4C45" w14:textId="77777777" w:rsidR="00975F11" w:rsidRDefault="00975F11" w:rsidP="00975F11">
      <w:r>
        <w:t xml:space="preserve">FSANZ identified no issues relevant to this objective. </w:t>
      </w:r>
    </w:p>
    <w:p w14:paraId="45E9D6C5" w14:textId="77777777" w:rsidR="002C1A3B" w:rsidRPr="002C1A3B" w:rsidRDefault="002C1A3B" w:rsidP="002C1A3B">
      <w:pPr>
        <w:rPr>
          <w:lang w:bidi="ar-SA"/>
        </w:rPr>
      </w:pPr>
    </w:p>
    <w:p w14:paraId="36E11BAF"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74EFD36D" w14:textId="77777777" w:rsidR="002C1A3B" w:rsidRPr="002C1A3B" w:rsidRDefault="002C1A3B" w:rsidP="002C1A3B">
      <w:pPr>
        <w:rPr>
          <w:lang w:bidi="ar-SA"/>
        </w:rPr>
      </w:pPr>
    </w:p>
    <w:p w14:paraId="682F3C96" w14:textId="14CEB564" w:rsidR="00A460C9" w:rsidRDefault="00975F11" w:rsidP="00975F11">
      <w:r>
        <w:t>There is no policy guideline for irradiated foods.</w:t>
      </w:r>
    </w:p>
    <w:p w14:paraId="5A6191FB" w14:textId="0F960866" w:rsidR="001122EC" w:rsidRPr="00975F11" w:rsidRDefault="00D17B27" w:rsidP="001122EC">
      <w:pPr>
        <w:pStyle w:val="Heading1"/>
      </w:pPr>
      <w:bookmarkStart w:id="272" w:name="_Toc65149721"/>
      <w:bookmarkStart w:id="273" w:name="_Toc65507102"/>
      <w:bookmarkStart w:id="274" w:name="_Toc65684167"/>
      <w:bookmarkStart w:id="275" w:name="_Toc71204394"/>
      <w:bookmarkStart w:id="276" w:name="_Toc11735643"/>
      <w:bookmarkStart w:id="277" w:name="_Toc29883130"/>
      <w:bookmarkStart w:id="278" w:name="_Toc41906817"/>
      <w:bookmarkStart w:id="279" w:name="_Toc41907564"/>
      <w:bookmarkStart w:id="280" w:name="_Toc43112360"/>
      <w:bookmarkEnd w:id="214"/>
      <w:r>
        <w:lastRenderedPageBreak/>
        <w:t>7</w:t>
      </w:r>
      <w:r w:rsidR="001122EC" w:rsidRPr="00975F11">
        <w:tab/>
        <w:t>R</w:t>
      </w:r>
      <w:r w:rsidR="000B427A" w:rsidRPr="00975F11">
        <w:t>eferences</w:t>
      </w:r>
      <w:bookmarkEnd w:id="272"/>
      <w:bookmarkEnd w:id="273"/>
      <w:bookmarkEnd w:id="274"/>
      <w:bookmarkEnd w:id="275"/>
    </w:p>
    <w:p w14:paraId="584D9CDD" w14:textId="5F7B0BC5" w:rsidR="009501E3" w:rsidRDefault="009501E3" w:rsidP="009501E3">
      <w:pPr>
        <w:pStyle w:val="FSTableFigureHeading"/>
        <w:spacing w:before="0" w:after="0"/>
        <w:ind w:left="0" w:firstLine="0"/>
        <w:rPr>
          <w:rFonts w:eastAsia="Times New Roman" w:cs="Times New Roman"/>
          <w:b w:val="0"/>
          <w:i w:val="0"/>
          <w:color w:val="auto"/>
          <w:sz w:val="20"/>
          <w:szCs w:val="20"/>
          <w:lang w:val="en-GB" w:bidi="en-US"/>
        </w:rPr>
      </w:pPr>
      <w:r>
        <w:rPr>
          <w:rFonts w:eastAsia="Times New Roman" w:cs="Times New Roman"/>
          <w:b w:val="0"/>
          <w:i w:val="0"/>
          <w:color w:val="auto"/>
          <w:sz w:val="20"/>
          <w:szCs w:val="20"/>
          <w:lang w:val="en-GB" w:bidi="en-US"/>
        </w:rPr>
        <w:t>CAC, Codex Alimentarius Commission (2003) General standard for irradiated foods (C</w:t>
      </w:r>
      <w:r w:rsidR="00116ACB">
        <w:rPr>
          <w:rFonts w:eastAsia="Times New Roman" w:cs="Times New Roman"/>
          <w:b w:val="0"/>
          <w:i w:val="0"/>
          <w:color w:val="auto"/>
          <w:sz w:val="20"/>
          <w:szCs w:val="20"/>
          <w:lang w:val="en-GB" w:bidi="en-US"/>
        </w:rPr>
        <w:t>XS 1</w:t>
      </w:r>
      <w:r>
        <w:rPr>
          <w:rFonts w:eastAsia="Times New Roman" w:cs="Times New Roman"/>
          <w:b w:val="0"/>
          <w:i w:val="0"/>
          <w:color w:val="auto"/>
          <w:sz w:val="20"/>
          <w:szCs w:val="20"/>
          <w:lang w:val="en-GB" w:bidi="en-US"/>
        </w:rPr>
        <w:t>06</w:t>
      </w:r>
      <w:r w:rsidR="00116ACB">
        <w:rPr>
          <w:rFonts w:eastAsia="Times New Roman" w:cs="Times New Roman"/>
          <w:b w:val="0"/>
          <w:i w:val="0"/>
          <w:color w:val="auto"/>
          <w:sz w:val="20"/>
          <w:szCs w:val="20"/>
          <w:lang w:val="en-GB" w:bidi="en-US"/>
        </w:rPr>
        <w:t>-</w:t>
      </w:r>
      <w:r>
        <w:rPr>
          <w:rFonts w:eastAsia="Times New Roman" w:cs="Times New Roman"/>
          <w:b w:val="0"/>
          <w:i w:val="0"/>
          <w:color w:val="auto"/>
          <w:sz w:val="20"/>
          <w:szCs w:val="20"/>
          <w:lang w:val="en-GB" w:bidi="en-US"/>
        </w:rPr>
        <w:t xml:space="preserve">1983, Rev.1–2003). Codex Alimentarius, FAO/WHO, Rome. </w:t>
      </w:r>
    </w:p>
    <w:p w14:paraId="3487B124" w14:textId="513BCB2C" w:rsidR="009501E3" w:rsidRDefault="00B2089A" w:rsidP="009501E3">
      <w:pPr>
        <w:pStyle w:val="FSTableFigureHeading"/>
        <w:spacing w:before="0" w:after="0"/>
        <w:ind w:left="0" w:firstLine="0"/>
        <w:rPr>
          <w:b w:val="0"/>
          <w:i w:val="0"/>
          <w:color w:val="auto"/>
          <w:sz w:val="20"/>
          <w:szCs w:val="20"/>
        </w:rPr>
      </w:pPr>
      <w:r>
        <w:rPr>
          <w:b w:val="0"/>
          <w:i w:val="0"/>
          <w:color w:val="auto"/>
          <w:sz w:val="20"/>
          <w:szCs w:val="20"/>
        </w:rPr>
        <w:t>CAC, Codex Alimentarius Commission (1985) General standard for the labelling of prepackaged foods (CXS 1-1985, Rev 2018). Codex Alimentarius, FAO/WHO, Rome.</w:t>
      </w:r>
    </w:p>
    <w:p w14:paraId="7A2F6A10" w14:textId="77777777" w:rsidR="00B2089A" w:rsidRDefault="00B2089A" w:rsidP="009501E3">
      <w:pPr>
        <w:pStyle w:val="FSTableFigureHeading"/>
        <w:spacing w:before="0" w:after="0"/>
        <w:ind w:left="0" w:firstLine="0"/>
        <w:rPr>
          <w:b w:val="0"/>
          <w:i w:val="0"/>
          <w:color w:val="auto"/>
          <w:sz w:val="20"/>
          <w:szCs w:val="20"/>
        </w:rPr>
      </w:pPr>
    </w:p>
    <w:p w14:paraId="54A374D7" w14:textId="5A981242" w:rsidR="009501E3" w:rsidRDefault="009501E3" w:rsidP="009501E3">
      <w:pPr>
        <w:pStyle w:val="FSTableFigureHeading"/>
        <w:spacing w:before="0" w:after="0"/>
        <w:ind w:left="0" w:firstLine="0"/>
        <w:rPr>
          <w:b w:val="0"/>
          <w:i w:val="0"/>
          <w:color w:val="auto"/>
          <w:sz w:val="20"/>
          <w:szCs w:val="20"/>
        </w:rPr>
      </w:pPr>
      <w:r>
        <w:rPr>
          <w:b w:val="0"/>
          <w:i w:val="0"/>
          <w:color w:val="auto"/>
          <w:sz w:val="20"/>
          <w:szCs w:val="20"/>
        </w:rPr>
        <w:t xml:space="preserve">FAO IPPC, Food and Agriculture Organization International Plant Protection Convention. (2009) 2016 version published. International standards for phytosanitary measures, ISPM No. 28, Annex 07. Irradiation treatment for fruit flies of the family Tephritidae (generic). Secretariat of the IPPC. FAO of the UN, Rome, Italy. </w:t>
      </w:r>
      <w:hyperlink r:id="rId35" w:history="1">
        <w:r>
          <w:rPr>
            <w:rStyle w:val="Hyperlink"/>
            <w:b w:val="0"/>
            <w:i w:val="0"/>
            <w:sz w:val="20"/>
            <w:szCs w:val="20"/>
          </w:rPr>
          <w:t>https://www.ippc.int/static/media/files/publication/en/2016/06/PT_07_2009_En_2016-04-22_PostCPM11_InkAm.pdf</w:t>
        </w:r>
      </w:hyperlink>
      <w:r>
        <w:rPr>
          <w:b w:val="0"/>
          <w:i w:val="0"/>
          <w:color w:val="auto"/>
          <w:sz w:val="20"/>
          <w:szCs w:val="20"/>
        </w:rPr>
        <w:t xml:space="preserve"> </w:t>
      </w:r>
    </w:p>
    <w:p w14:paraId="1DC62FE1" w14:textId="788459E3" w:rsidR="009501E3" w:rsidRDefault="009501E3" w:rsidP="009501E3">
      <w:pPr>
        <w:pStyle w:val="FSTableFigureHeading"/>
        <w:spacing w:before="0" w:after="0"/>
        <w:ind w:left="0" w:firstLine="0"/>
        <w:rPr>
          <w:b w:val="0"/>
          <w:i w:val="0"/>
          <w:color w:val="auto"/>
          <w:sz w:val="20"/>
          <w:szCs w:val="20"/>
        </w:rPr>
      </w:pPr>
    </w:p>
    <w:p w14:paraId="087944FE" w14:textId="510B881C" w:rsidR="00B9210F" w:rsidRDefault="00B9210F" w:rsidP="009501E3">
      <w:pPr>
        <w:pStyle w:val="FSTableFigureHeading"/>
        <w:spacing w:before="0" w:after="0"/>
        <w:ind w:left="0" w:firstLine="0"/>
        <w:rPr>
          <w:b w:val="0"/>
          <w:i w:val="0"/>
          <w:color w:val="auto"/>
          <w:sz w:val="20"/>
          <w:szCs w:val="20"/>
        </w:rPr>
      </w:pPr>
      <w:r w:rsidRPr="00B9210F">
        <w:rPr>
          <w:b w:val="0"/>
          <w:i w:val="0"/>
          <w:color w:val="auto"/>
          <w:sz w:val="20"/>
          <w:szCs w:val="20"/>
        </w:rPr>
        <w:t xml:space="preserve">FSANZ (2014) Nutritional impact of phytosanitary irradiation of fruits and vegetables. Canberra: FSANZ. </w:t>
      </w:r>
      <w:hyperlink r:id="rId36" w:history="1">
        <w:r w:rsidRPr="003601B1">
          <w:rPr>
            <w:rStyle w:val="Hyperlink"/>
            <w:b w:val="0"/>
            <w:i w:val="0"/>
            <w:sz w:val="20"/>
            <w:szCs w:val="20"/>
          </w:rPr>
          <w:t>https://www.foodstandards.gov.au/publications/Pages/Nutritional-impact-of-phytosanitary-irradiation-of-fruits-and-vegetables.aspx</w:t>
        </w:r>
      </w:hyperlink>
      <w:r>
        <w:rPr>
          <w:b w:val="0"/>
          <w:i w:val="0"/>
          <w:color w:val="auto"/>
          <w:sz w:val="20"/>
          <w:szCs w:val="20"/>
        </w:rPr>
        <w:t xml:space="preserve"> </w:t>
      </w:r>
    </w:p>
    <w:p w14:paraId="226F51C8" w14:textId="77777777" w:rsidR="00B9210F" w:rsidRDefault="00B9210F" w:rsidP="009501E3">
      <w:pPr>
        <w:pStyle w:val="FSTableFigureHeading"/>
        <w:spacing w:before="0" w:after="0"/>
        <w:ind w:left="0" w:firstLine="0"/>
        <w:rPr>
          <w:b w:val="0"/>
          <w:i w:val="0"/>
          <w:color w:val="auto"/>
          <w:sz w:val="20"/>
          <w:szCs w:val="20"/>
        </w:rPr>
      </w:pPr>
    </w:p>
    <w:p w14:paraId="0881F8E8" w14:textId="77777777" w:rsidR="009501E3" w:rsidRDefault="009501E3" w:rsidP="009501E3">
      <w:r>
        <w:rPr>
          <w:sz w:val="20"/>
          <w:szCs w:val="20"/>
        </w:rPr>
        <w:t>GHI, Global Harmonization Initiative (2018) Consensus document on food irradiation</w:t>
      </w:r>
      <w:r>
        <w:t>.</w:t>
      </w:r>
    </w:p>
    <w:p w14:paraId="290ADC77" w14:textId="02434B2A" w:rsidR="0012388D" w:rsidRDefault="00D15A08" w:rsidP="009501E3">
      <w:pPr>
        <w:spacing w:before="240"/>
        <w:rPr>
          <w:b/>
          <w:sz w:val="28"/>
          <w:szCs w:val="28"/>
        </w:rPr>
      </w:pPr>
      <w:r w:rsidRPr="006C22A7">
        <w:rPr>
          <w:b/>
          <w:sz w:val="28"/>
          <w:szCs w:val="28"/>
        </w:rPr>
        <w:t>A</w:t>
      </w:r>
      <w:bookmarkEnd w:id="276"/>
      <w:bookmarkEnd w:id="277"/>
      <w:bookmarkEnd w:id="278"/>
      <w:bookmarkEnd w:id="279"/>
      <w:bookmarkEnd w:id="280"/>
      <w:r w:rsidR="00B21055">
        <w:rPr>
          <w:b/>
          <w:sz w:val="28"/>
          <w:szCs w:val="28"/>
        </w:rPr>
        <w:t>ttachments</w:t>
      </w:r>
    </w:p>
    <w:p w14:paraId="20B87CA7" w14:textId="77777777" w:rsidR="006C22A7" w:rsidRDefault="006C22A7" w:rsidP="00755F02"/>
    <w:p w14:paraId="6092C7B7" w14:textId="4301F724" w:rsidR="00795D86" w:rsidRPr="002611B5" w:rsidRDefault="00755F02" w:rsidP="00456BD5">
      <w:pPr>
        <w:ind w:left="567" w:hanging="567"/>
        <w:rPr>
          <w:sz w:val="20"/>
        </w:rPr>
      </w:pPr>
      <w:r w:rsidRPr="002611B5">
        <w:rPr>
          <w:sz w:val="20"/>
        </w:rPr>
        <w:t>A.</w:t>
      </w:r>
      <w:r w:rsidRPr="002611B5">
        <w:rPr>
          <w:sz w:val="20"/>
        </w:rPr>
        <w:tab/>
      </w:r>
      <w:r w:rsidR="009A2699" w:rsidRPr="002611B5">
        <w:rPr>
          <w:sz w:val="20"/>
        </w:rPr>
        <w:t xml:space="preserve">Approved </w:t>
      </w:r>
      <w:r w:rsidR="00E47D3B" w:rsidRPr="002611B5">
        <w:rPr>
          <w:sz w:val="20"/>
        </w:rPr>
        <w:t xml:space="preserve">draft </w:t>
      </w:r>
      <w:r w:rsidR="000576EB" w:rsidRPr="002611B5">
        <w:rPr>
          <w:sz w:val="20"/>
        </w:rPr>
        <w:t>variation to the</w:t>
      </w:r>
      <w:r w:rsidR="005E06C0" w:rsidRPr="002611B5">
        <w:rPr>
          <w:sz w:val="20"/>
        </w:rPr>
        <w:t xml:space="preserve"> </w:t>
      </w:r>
      <w:r w:rsidR="000576EB" w:rsidRPr="002611B5">
        <w:rPr>
          <w:i/>
          <w:sz w:val="20"/>
        </w:rPr>
        <w:t>Australia New Zealand Food Standards Code</w:t>
      </w:r>
      <w:r w:rsidR="005E06C0" w:rsidRPr="002611B5">
        <w:rPr>
          <w:i/>
          <w:sz w:val="20"/>
        </w:rPr>
        <w:t xml:space="preserve"> </w:t>
      </w:r>
    </w:p>
    <w:p w14:paraId="137043B1" w14:textId="77777777" w:rsidR="00737837" w:rsidRPr="002611B5" w:rsidRDefault="00456BD5" w:rsidP="00311393">
      <w:pPr>
        <w:rPr>
          <w:sz w:val="20"/>
        </w:rPr>
      </w:pPr>
      <w:r w:rsidRPr="002611B5">
        <w:rPr>
          <w:sz w:val="20"/>
        </w:rPr>
        <w:t>B</w:t>
      </w:r>
      <w:r w:rsidR="00755F02" w:rsidRPr="002611B5">
        <w:rPr>
          <w:sz w:val="20"/>
        </w:rPr>
        <w:t>.</w:t>
      </w:r>
      <w:r w:rsidR="00755F02" w:rsidRPr="002611B5">
        <w:rPr>
          <w:sz w:val="20"/>
        </w:rPr>
        <w:tab/>
      </w:r>
      <w:r w:rsidRPr="002611B5">
        <w:rPr>
          <w:sz w:val="20"/>
        </w:rPr>
        <w:t>Explanatory Statement</w:t>
      </w:r>
    </w:p>
    <w:p w14:paraId="7A04A865" w14:textId="4B648404" w:rsidR="00456BD5" w:rsidRPr="002611B5" w:rsidRDefault="00737837" w:rsidP="00311393">
      <w:pPr>
        <w:rPr>
          <w:sz w:val="20"/>
        </w:rPr>
      </w:pPr>
      <w:r w:rsidRPr="002611B5">
        <w:rPr>
          <w:sz w:val="20"/>
        </w:rPr>
        <w:t xml:space="preserve">C. </w:t>
      </w:r>
      <w:r w:rsidRPr="002611B5">
        <w:rPr>
          <w:sz w:val="20"/>
        </w:rPr>
        <w:tab/>
        <w:t>Draft variation to the Australia New Zealand Food Standards Code (Call for Submissions)</w:t>
      </w:r>
      <w:r w:rsidR="00456BD5" w:rsidRPr="002611B5">
        <w:rPr>
          <w:sz w:val="20"/>
        </w:rPr>
        <w:t xml:space="preserve"> </w:t>
      </w:r>
    </w:p>
    <w:p w14:paraId="1262EB24" w14:textId="6F927E7F" w:rsidR="005A45FA" w:rsidRDefault="005A45FA" w:rsidP="005A45FA">
      <w:pPr>
        <w:spacing w:before="240"/>
        <w:rPr>
          <w:b/>
          <w:sz w:val="28"/>
          <w:szCs w:val="28"/>
        </w:rPr>
      </w:pPr>
      <w:r w:rsidRPr="006C22A7">
        <w:rPr>
          <w:b/>
          <w:sz w:val="28"/>
          <w:szCs w:val="28"/>
        </w:rPr>
        <w:t>A</w:t>
      </w:r>
      <w:r>
        <w:rPr>
          <w:b/>
          <w:sz w:val="28"/>
          <w:szCs w:val="28"/>
        </w:rPr>
        <w:t>ppendices</w:t>
      </w:r>
    </w:p>
    <w:p w14:paraId="04C7DF4F" w14:textId="77777777" w:rsidR="00311393" w:rsidRDefault="00311393" w:rsidP="00311393"/>
    <w:p w14:paraId="6930E10F" w14:textId="7D10DDFC" w:rsidR="00A97846" w:rsidRPr="002611B5" w:rsidRDefault="00A97846" w:rsidP="00311393">
      <w:pPr>
        <w:rPr>
          <w:sz w:val="20"/>
        </w:rPr>
      </w:pPr>
      <w:r w:rsidRPr="002611B5">
        <w:rPr>
          <w:sz w:val="20"/>
        </w:rPr>
        <w:t>Appendix 1:</w:t>
      </w:r>
      <w:r w:rsidR="00D176DE">
        <w:rPr>
          <w:sz w:val="20"/>
        </w:rPr>
        <w:tab/>
      </w:r>
      <w:r w:rsidR="00D176DE">
        <w:rPr>
          <w:sz w:val="20"/>
        </w:rPr>
        <w:tab/>
      </w:r>
      <w:r w:rsidRPr="002611B5">
        <w:rPr>
          <w:sz w:val="20"/>
        </w:rPr>
        <w:t>Summary of specific countries’ permissions for irradiated foods</w:t>
      </w:r>
    </w:p>
    <w:p w14:paraId="4B3A5751" w14:textId="77777777" w:rsidR="00311393" w:rsidRPr="002611B5" w:rsidRDefault="00311393" w:rsidP="00311393">
      <w:pPr>
        <w:rPr>
          <w:sz w:val="20"/>
        </w:rPr>
      </w:pPr>
    </w:p>
    <w:p w14:paraId="5FCD63BC" w14:textId="79827329" w:rsidR="00A97846" w:rsidRPr="002611B5" w:rsidRDefault="00A97846" w:rsidP="00311393">
      <w:pPr>
        <w:ind w:left="1701" w:hanging="1701"/>
        <w:rPr>
          <w:sz w:val="20"/>
        </w:rPr>
      </w:pPr>
      <w:r w:rsidRPr="002611B5">
        <w:rPr>
          <w:sz w:val="20"/>
        </w:rPr>
        <w:t xml:space="preserve">Appendix 2: </w:t>
      </w:r>
      <w:r w:rsidR="00311393" w:rsidRPr="002611B5">
        <w:rPr>
          <w:sz w:val="20"/>
        </w:rPr>
        <w:tab/>
      </w:r>
      <w:r w:rsidR="00492EA1" w:rsidRPr="002611B5">
        <w:rPr>
          <w:sz w:val="20"/>
        </w:rPr>
        <w:t>I</w:t>
      </w:r>
      <w:r w:rsidRPr="002611B5">
        <w:rPr>
          <w:sz w:val="20"/>
        </w:rPr>
        <w:t xml:space="preserve">ssues raised </w:t>
      </w:r>
      <w:r w:rsidR="00311393" w:rsidRPr="002611B5">
        <w:rPr>
          <w:sz w:val="20"/>
        </w:rPr>
        <w:t xml:space="preserve">in submissions </w:t>
      </w:r>
      <w:r w:rsidRPr="002611B5">
        <w:rPr>
          <w:sz w:val="20"/>
        </w:rPr>
        <w:t xml:space="preserve">and FSANZ response </w:t>
      </w:r>
    </w:p>
    <w:p w14:paraId="7AEF4C0E" w14:textId="77777777" w:rsidR="00311393" w:rsidRPr="002611B5" w:rsidRDefault="00311393" w:rsidP="00311393">
      <w:pPr>
        <w:ind w:left="1701" w:hanging="1701"/>
        <w:rPr>
          <w:sz w:val="20"/>
        </w:rPr>
      </w:pPr>
    </w:p>
    <w:p w14:paraId="32CFCBCC" w14:textId="0774A28E" w:rsidR="00A97846" w:rsidRPr="002611B5" w:rsidRDefault="00A97846" w:rsidP="00311393">
      <w:pPr>
        <w:ind w:left="1701" w:hanging="1701"/>
        <w:rPr>
          <w:sz w:val="20"/>
        </w:rPr>
      </w:pPr>
      <w:r w:rsidRPr="002611B5">
        <w:rPr>
          <w:sz w:val="20"/>
        </w:rPr>
        <w:t xml:space="preserve">Appendix 3: </w:t>
      </w:r>
      <w:r w:rsidR="00311393" w:rsidRPr="002611B5">
        <w:rPr>
          <w:sz w:val="20"/>
        </w:rPr>
        <w:tab/>
      </w:r>
      <w:r w:rsidR="00492EA1" w:rsidRPr="002611B5">
        <w:rPr>
          <w:sz w:val="20"/>
        </w:rPr>
        <w:t>Issues</w:t>
      </w:r>
      <w:r w:rsidRPr="002611B5">
        <w:rPr>
          <w:sz w:val="20"/>
        </w:rPr>
        <w:t xml:space="preserve"> raised </w:t>
      </w:r>
      <w:r w:rsidR="00311393" w:rsidRPr="002611B5">
        <w:rPr>
          <w:sz w:val="20"/>
        </w:rPr>
        <w:t xml:space="preserve">in the </w:t>
      </w:r>
      <w:r w:rsidR="00492EA1" w:rsidRPr="002611B5">
        <w:rPr>
          <w:sz w:val="20"/>
        </w:rPr>
        <w:t>‘sample letter’ and associated webpages</w:t>
      </w:r>
      <w:r w:rsidR="00311393" w:rsidRPr="002611B5">
        <w:rPr>
          <w:sz w:val="20"/>
        </w:rPr>
        <w:t xml:space="preserve"> </w:t>
      </w:r>
      <w:r w:rsidRPr="002611B5">
        <w:rPr>
          <w:sz w:val="20"/>
        </w:rPr>
        <w:t xml:space="preserve">and FSANZ response </w:t>
      </w:r>
    </w:p>
    <w:p w14:paraId="7D971F42" w14:textId="77777777" w:rsidR="00311393" w:rsidRPr="002611B5" w:rsidRDefault="00311393" w:rsidP="00311393">
      <w:pPr>
        <w:ind w:left="1701" w:hanging="1701"/>
        <w:rPr>
          <w:sz w:val="20"/>
        </w:rPr>
      </w:pPr>
    </w:p>
    <w:p w14:paraId="06E5DECB" w14:textId="3AE4B361" w:rsidR="00311393" w:rsidRPr="002611B5" w:rsidRDefault="00B9210F" w:rsidP="00311393">
      <w:pPr>
        <w:ind w:left="1701" w:hanging="1701"/>
        <w:rPr>
          <w:sz w:val="20"/>
        </w:rPr>
      </w:pPr>
      <w:r w:rsidRPr="002611B5">
        <w:rPr>
          <w:sz w:val="20"/>
        </w:rPr>
        <w:t>Appendix 4</w:t>
      </w:r>
      <w:r w:rsidR="00311393" w:rsidRPr="002611B5">
        <w:rPr>
          <w:sz w:val="20"/>
        </w:rPr>
        <w:t xml:space="preserve">: </w:t>
      </w:r>
      <w:r w:rsidR="00311393" w:rsidRPr="002611B5">
        <w:rPr>
          <w:sz w:val="20"/>
        </w:rPr>
        <w:tab/>
        <w:t>Food Irradiation Watch/Gene Ethics ques</w:t>
      </w:r>
      <w:r w:rsidR="008D6182" w:rsidRPr="002611B5">
        <w:rPr>
          <w:sz w:val="20"/>
        </w:rPr>
        <w:t>tions on the application and SD</w:t>
      </w:r>
      <w:r w:rsidR="00311393" w:rsidRPr="002611B5">
        <w:rPr>
          <w:sz w:val="20"/>
        </w:rPr>
        <w:t>1 and FSANZ response</w:t>
      </w:r>
    </w:p>
    <w:p w14:paraId="1DAFEF12" w14:textId="77777777" w:rsidR="00311393" w:rsidRDefault="00311393" w:rsidP="00456BD5">
      <w:pPr>
        <w:ind w:left="567" w:hanging="567"/>
      </w:pPr>
    </w:p>
    <w:p w14:paraId="359996BB" w14:textId="3B7A5AA5" w:rsidR="003C4969" w:rsidRPr="00086988" w:rsidRDefault="003C4969" w:rsidP="009501E3">
      <w:pPr>
        <w:ind w:left="567" w:hanging="567"/>
      </w:pPr>
    </w:p>
    <w:p w14:paraId="60386065" w14:textId="4EE06391" w:rsidR="00456BD5" w:rsidRDefault="003C4969" w:rsidP="00456BD5">
      <w:pPr>
        <w:pStyle w:val="Heading2"/>
        <w:ind w:left="0" w:firstLine="0"/>
        <w:rPr>
          <w:i/>
        </w:rPr>
      </w:pPr>
      <w:r w:rsidRPr="00932F14">
        <w:br w:type="page"/>
      </w:r>
      <w:bookmarkStart w:id="281" w:name="_Toc29883131"/>
      <w:bookmarkStart w:id="282" w:name="_Toc41906818"/>
      <w:bookmarkStart w:id="283" w:name="_Toc41907565"/>
      <w:bookmarkStart w:id="284" w:name="_Toc120358596"/>
      <w:bookmarkStart w:id="285" w:name="_Toc175381458"/>
      <w:bookmarkStart w:id="286" w:name="_Toc11735644"/>
      <w:bookmarkStart w:id="287" w:name="_Toc65149722"/>
      <w:bookmarkStart w:id="288" w:name="_Toc65507103"/>
      <w:bookmarkStart w:id="289" w:name="_Toc65684168"/>
      <w:bookmarkStart w:id="290" w:name="_Toc71204395"/>
      <w:r w:rsidRPr="00932F14">
        <w:lastRenderedPageBreak/>
        <w:t xml:space="preserve">Attachment </w:t>
      </w:r>
      <w:bookmarkEnd w:id="281"/>
      <w:bookmarkEnd w:id="282"/>
      <w:bookmarkEnd w:id="283"/>
      <w:bookmarkEnd w:id="284"/>
      <w:bookmarkEnd w:id="285"/>
      <w:r w:rsidR="00456B54">
        <w:t>A</w:t>
      </w:r>
      <w:bookmarkStart w:id="291" w:name="_Toc120358597"/>
      <w:bookmarkStart w:id="292" w:name="_Toc175381459"/>
      <w:bookmarkEnd w:id="286"/>
      <w:r w:rsidR="00755F02">
        <w:t xml:space="preserve"> –</w:t>
      </w:r>
      <w:bookmarkStart w:id="293" w:name="_Toc120358598"/>
      <w:bookmarkStart w:id="294" w:name="_Toc175381460"/>
      <w:bookmarkEnd w:id="291"/>
      <w:bookmarkEnd w:id="292"/>
      <w:r w:rsidR="005E06C0">
        <w:t xml:space="preserve"> </w:t>
      </w:r>
      <w:r w:rsidR="00456BD5">
        <w:t>Approved</w:t>
      </w:r>
      <w:r w:rsidR="00456BD5" w:rsidRPr="00932F14">
        <w:t xml:space="preserve"> variation to the</w:t>
      </w:r>
      <w:r w:rsidR="00456BD5" w:rsidRPr="00755F02">
        <w:t xml:space="preserve"> </w:t>
      </w:r>
      <w:r w:rsidR="00456BD5" w:rsidRPr="00795D86">
        <w:rPr>
          <w:i/>
        </w:rPr>
        <w:t>Australia New Zealand Food Standards Code</w:t>
      </w:r>
      <w:bookmarkEnd w:id="287"/>
      <w:bookmarkEnd w:id="288"/>
      <w:bookmarkEnd w:id="289"/>
      <w:bookmarkEnd w:id="290"/>
      <w:r w:rsidR="00456BD5">
        <w:rPr>
          <w:i/>
        </w:rPr>
        <w:t xml:space="preserve"> </w:t>
      </w:r>
    </w:p>
    <w:p w14:paraId="2B6F5077" w14:textId="6C6A97DC" w:rsidR="008F56BD" w:rsidRDefault="008F56BD" w:rsidP="008F56BD">
      <w:pPr>
        <w:rPr>
          <w:noProof/>
          <w:sz w:val="20"/>
          <w:lang w:val="en-AU" w:eastAsia="en-AU"/>
        </w:rPr>
      </w:pPr>
      <w:r>
        <w:rPr>
          <w:noProof/>
          <w:sz w:val="20"/>
          <w:lang w:eastAsia="en-GB" w:bidi="ar-SA"/>
        </w:rPr>
        <w:drawing>
          <wp:inline distT="0" distB="0" distL="0" distR="0" wp14:anchorId="21690195" wp14:editId="01A9DC07">
            <wp:extent cx="2652395" cy="434340"/>
            <wp:effectExtent l="0" t="0" r="0" b="381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52395" cy="434340"/>
                    </a:xfrm>
                    <a:prstGeom prst="rect">
                      <a:avLst/>
                    </a:prstGeom>
                    <a:noFill/>
                    <a:ln>
                      <a:noFill/>
                    </a:ln>
                  </pic:spPr>
                </pic:pic>
              </a:graphicData>
            </a:graphic>
          </wp:inline>
        </w:drawing>
      </w:r>
    </w:p>
    <w:p w14:paraId="686E9C73" w14:textId="77777777" w:rsidR="008F56BD" w:rsidRDefault="008F56BD" w:rsidP="008F56BD">
      <w:pPr>
        <w:pBdr>
          <w:bottom w:val="single" w:sz="4" w:space="1" w:color="auto"/>
        </w:pBdr>
        <w:rPr>
          <w:b/>
          <w:bCs/>
        </w:rPr>
      </w:pPr>
    </w:p>
    <w:p w14:paraId="7674E2F5" w14:textId="77777777" w:rsidR="008F56BD" w:rsidRDefault="008F56BD" w:rsidP="008F56BD">
      <w:pPr>
        <w:pBdr>
          <w:bottom w:val="single" w:sz="4" w:space="1" w:color="auto"/>
        </w:pBdr>
        <w:rPr>
          <w:b/>
          <w:sz w:val="20"/>
        </w:rPr>
      </w:pPr>
      <w:r>
        <w:rPr>
          <w:b/>
          <w:sz w:val="20"/>
        </w:rPr>
        <w:t>Food Standards (Application A1193 – Irradiation as a phytosanitary measure for all fresh fruit and vegetables) Variation</w:t>
      </w:r>
    </w:p>
    <w:p w14:paraId="7D33C284" w14:textId="77777777" w:rsidR="008F56BD" w:rsidRDefault="008F56BD" w:rsidP="008F56BD">
      <w:pPr>
        <w:pBdr>
          <w:bottom w:val="single" w:sz="4" w:space="1" w:color="auto"/>
        </w:pBdr>
        <w:rPr>
          <w:b/>
          <w:sz w:val="20"/>
        </w:rPr>
      </w:pPr>
    </w:p>
    <w:p w14:paraId="45BA4959" w14:textId="77777777" w:rsidR="008F56BD" w:rsidRDefault="008F56BD" w:rsidP="008F56BD">
      <w:pPr>
        <w:rPr>
          <w:sz w:val="20"/>
        </w:rPr>
      </w:pPr>
    </w:p>
    <w:p w14:paraId="169CBDDE" w14:textId="77777777" w:rsidR="008F56BD" w:rsidRDefault="008F56BD" w:rsidP="008F56BD">
      <w:pPr>
        <w:rPr>
          <w:sz w:val="20"/>
        </w:rPr>
      </w:pPr>
      <w:r>
        <w:rPr>
          <w:sz w:val="20"/>
        </w:rPr>
        <w:t xml:space="preserve">The Board of Food Standards Australia New Zealand gives notice of the making of this variation under section 92 of the </w:t>
      </w:r>
      <w:r>
        <w:rPr>
          <w:i/>
          <w:sz w:val="20"/>
        </w:rPr>
        <w:t>Food Standards Australia New Zealand Act 1991</w:t>
      </w:r>
      <w:r>
        <w:rPr>
          <w:sz w:val="20"/>
        </w:rPr>
        <w:t>.  The variation commences on the date specified in clause 3 of this variation.</w:t>
      </w:r>
    </w:p>
    <w:p w14:paraId="162C9BA8" w14:textId="77777777" w:rsidR="008F56BD" w:rsidRDefault="008F56BD" w:rsidP="008F56BD">
      <w:pPr>
        <w:rPr>
          <w:sz w:val="20"/>
        </w:rPr>
      </w:pPr>
    </w:p>
    <w:p w14:paraId="485C43BD" w14:textId="77777777" w:rsidR="008F56BD" w:rsidRDefault="008F56BD" w:rsidP="008F56BD">
      <w:pPr>
        <w:rPr>
          <w:sz w:val="20"/>
        </w:rPr>
      </w:pPr>
      <w:r>
        <w:rPr>
          <w:sz w:val="20"/>
        </w:rPr>
        <w:t xml:space="preserve">Dated </w:t>
      </w:r>
      <w:r>
        <w:rPr>
          <w:color w:val="FF0000"/>
          <w:sz w:val="20"/>
        </w:rPr>
        <w:t>[To be completed by Delegate]</w:t>
      </w:r>
    </w:p>
    <w:p w14:paraId="169F7CFC" w14:textId="77777777" w:rsidR="008F56BD" w:rsidRDefault="008F56BD" w:rsidP="008F56BD">
      <w:pPr>
        <w:rPr>
          <w:sz w:val="20"/>
        </w:rPr>
      </w:pPr>
    </w:p>
    <w:p w14:paraId="7F8A826B" w14:textId="77777777" w:rsidR="008F56BD" w:rsidRDefault="008F56BD" w:rsidP="008F56BD">
      <w:pPr>
        <w:rPr>
          <w:sz w:val="20"/>
        </w:rPr>
      </w:pPr>
    </w:p>
    <w:p w14:paraId="7FBA4FE2" w14:textId="77777777" w:rsidR="008F56BD" w:rsidRDefault="008F56BD" w:rsidP="008F56BD">
      <w:pPr>
        <w:rPr>
          <w:sz w:val="20"/>
        </w:rPr>
      </w:pPr>
    </w:p>
    <w:p w14:paraId="29978B9C" w14:textId="77777777" w:rsidR="008F56BD" w:rsidRDefault="008F56BD" w:rsidP="008F56BD">
      <w:pPr>
        <w:rPr>
          <w:sz w:val="20"/>
        </w:rPr>
      </w:pPr>
    </w:p>
    <w:p w14:paraId="35D3B8EA" w14:textId="77777777" w:rsidR="008F56BD" w:rsidRDefault="008F56BD" w:rsidP="008F56BD">
      <w:pPr>
        <w:rPr>
          <w:sz w:val="20"/>
        </w:rPr>
      </w:pPr>
    </w:p>
    <w:p w14:paraId="1669A94D" w14:textId="77777777" w:rsidR="008F56BD" w:rsidRDefault="008F56BD" w:rsidP="008F56BD">
      <w:pPr>
        <w:rPr>
          <w:sz w:val="20"/>
        </w:rPr>
      </w:pPr>
      <w:r>
        <w:rPr>
          <w:color w:val="FF0000"/>
          <w:sz w:val="20"/>
        </w:rPr>
        <w:t>[Insert name of and title of Delegate]</w:t>
      </w:r>
    </w:p>
    <w:p w14:paraId="6E909C9A" w14:textId="77777777" w:rsidR="008F56BD" w:rsidRDefault="008F56BD" w:rsidP="008F56BD">
      <w:pPr>
        <w:rPr>
          <w:sz w:val="20"/>
        </w:rPr>
      </w:pPr>
      <w:r>
        <w:rPr>
          <w:sz w:val="20"/>
        </w:rPr>
        <w:t>Delegate of the Board of Food Standards Australia New Zealand</w:t>
      </w:r>
    </w:p>
    <w:p w14:paraId="3CD4B18A" w14:textId="77777777" w:rsidR="008F56BD" w:rsidRDefault="008F56BD" w:rsidP="008F56BD">
      <w:pPr>
        <w:rPr>
          <w:sz w:val="20"/>
        </w:rPr>
      </w:pPr>
    </w:p>
    <w:p w14:paraId="46ABBCB2" w14:textId="77777777" w:rsidR="008F56BD" w:rsidRDefault="008F56BD" w:rsidP="008F56BD">
      <w:pPr>
        <w:rPr>
          <w:sz w:val="20"/>
        </w:rPr>
      </w:pPr>
    </w:p>
    <w:p w14:paraId="4572D008" w14:textId="77777777" w:rsidR="008F56BD" w:rsidRDefault="008F56BD" w:rsidP="008F56BD">
      <w:pPr>
        <w:rPr>
          <w:sz w:val="20"/>
        </w:rPr>
      </w:pPr>
    </w:p>
    <w:p w14:paraId="60A394CD" w14:textId="77777777" w:rsidR="008F56BD" w:rsidRDefault="008F56BD" w:rsidP="008F56BD">
      <w:pPr>
        <w:rPr>
          <w:sz w:val="20"/>
        </w:rPr>
      </w:pPr>
    </w:p>
    <w:p w14:paraId="7E906AC3" w14:textId="77777777" w:rsidR="008F56BD" w:rsidRDefault="008F56BD" w:rsidP="008F56BD">
      <w:pPr>
        <w:rPr>
          <w:sz w:val="20"/>
        </w:rPr>
      </w:pPr>
    </w:p>
    <w:p w14:paraId="055CC96F" w14:textId="77777777" w:rsidR="008F56BD" w:rsidRDefault="008F56BD" w:rsidP="008F56BD">
      <w:pPr>
        <w:pBdr>
          <w:top w:val="single" w:sz="4" w:space="1" w:color="auto"/>
          <w:left w:val="single" w:sz="4" w:space="4" w:color="auto"/>
          <w:bottom w:val="single" w:sz="4" w:space="1" w:color="auto"/>
          <w:right w:val="single" w:sz="4" w:space="4" w:color="auto"/>
        </w:pBdr>
        <w:rPr>
          <w:b/>
          <w:sz w:val="20"/>
          <w:lang w:val="en-AU"/>
        </w:rPr>
      </w:pPr>
      <w:r>
        <w:rPr>
          <w:b/>
          <w:sz w:val="20"/>
          <w:lang w:val="en-AU"/>
        </w:rPr>
        <w:t xml:space="preserve">Note:  </w:t>
      </w:r>
    </w:p>
    <w:p w14:paraId="53A84DE9" w14:textId="77777777" w:rsidR="008F56BD" w:rsidRDefault="008F56BD" w:rsidP="008F56BD">
      <w:pPr>
        <w:pBdr>
          <w:top w:val="single" w:sz="4" w:space="1" w:color="auto"/>
          <w:left w:val="single" w:sz="4" w:space="4" w:color="auto"/>
          <w:bottom w:val="single" w:sz="4" w:space="1" w:color="auto"/>
          <w:right w:val="single" w:sz="4" w:space="4" w:color="auto"/>
        </w:pBdr>
        <w:rPr>
          <w:sz w:val="20"/>
          <w:lang w:val="en-AU"/>
        </w:rPr>
      </w:pPr>
    </w:p>
    <w:p w14:paraId="7AC1D263" w14:textId="77777777" w:rsidR="008F56BD" w:rsidRDefault="008F56BD" w:rsidP="008F56BD">
      <w:pPr>
        <w:pBdr>
          <w:top w:val="single" w:sz="4" w:space="1" w:color="auto"/>
          <w:left w:val="single" w:sz="4" w:space="4" w:color="auto"/>
          <w:bottom w:val="single" w:sz="4" w:space="1" w:color="auto"/>
          <w:right w:val="single" w:sz="4" w:space="4" w:color="auto"/>
        </w:pBdr>
        <w:rPr>
          <w:sz w:val="20"/>
          <w:lang w:val="en-AU"/>
        </w:rPr>
      </w:pPr>
      <w:r>
        <w:rPr>
          <w:sz w:val="20"/>
          <w:lang w:val="en-AU"/>
        </w:rPr>
        <w:t xml:space="preserve">This variation will be published in the Commonwealth of Australia Gazette No. FSC </w:t>
      </w:r>
      <w:r>
        <w:rPr>
          <w:color w:val="FF0000"/>
          <w:sz w:val="20"/>
          <w:lang w:val="en-AU"/>
        </w:rPr>
        <w:t>XX on XX Month 20XX</w:t>
      </w:r>
      <w:r>
        <w:rPr>
          <w:sz w:val="20"/>
          <w:lang w:val="en-AU"/>
        </w:rPr>
        <w:t xml:space="preserve">. This means that this date is the gazettal date for the purposes of clause 3 of the variation. </w:t>
      </w:r>
    </w:p>
    <w:p w14:paraId="78B10BA2" w14:textId="77777777" w:rsidR="008F56BD" w:rsidRDefault="008F56BD" w:rsidP="008F56BD">
      <w:pPr>
        <w:rPr>
          <w:sz w:val="20"/>
        </w:rPr>
      </w:pPr>
    </w:p>
    <w:p w14:paraId="3B1846CE" w14:textId="77777777" w:rsidR="008F56BD" w:rsidRDefault="008F56BD" w:rsidP="008F56BD">
      <w:pPr>
        <w:widowControl/>
        <w:rPr>
          <w:sz w:val="20"/>
        </w:rPr>
      </w:pPr>
      <w:r>
        <w:rPr>
          <w:sz w:val="20"/>
        </w:rPr>
        <w:br w:type="page"/>
      </w:r>
    </w:p>
    <w:p w14:paraId="435ECF77" w14:textId="77777777" w:rsidR="008F56BD" w:rsidRDefault="008F56BD" w:rsidP="008F56BD">
      <w:pPr>
        <w:pStyle w:val="FSCDraftingitemheading"/>
      </w:pPr>
      <w:r>
        <w:lastRenderedPageBreak/>
        <w:t>1</w:t>
      </w:r>
      <w:r>
        <w:tab/>
        <w:t>Name</w:t>
      </w:r>
    </w:p>
    <w:p w14:paraId="2749DA22" w14:textId="77777777" w:rsidR="008F56BD" w:rsidRDefault="008F56BD" w:rsidP="008F56BD">
      <w:pPr>
        <w:pStyle w:val="FSCDraftingitem"/>
      </w:pPr>
      <w:r>
        <w:t xml:space="preserve">This instrument is the </w:t>
      </w:r>
      <w:r>
        <w:rPr>
          <w:i/>
        </w:rPr>
        <w:t>Food Standards (Application A1193 – Irradiation as a phytosanitary measure for all fresh fruit and vegetables) Variation</w:t>
      </w:r>
      <w:r>
        <w:t>.</w:t>
      </w:r>
    </w:p>
    <w:p w14:paraId="574202EC" w14:textId="77777777" w:rsidR="008F56BD" w:rsidRDefault="008F56BD" w:rsidP="008F56BD">
      <w:pPr>
        <w:pStyle w:val="FSCDraftingitemheading"/>
      </w:pPr>
      <w:r>
        <w:t>2</w:t>
      </w:r>
      <w:r>
        <w:tab/>
        <w:t xml:space="preserve">Variation to standard in the </w:t>
      </w:r>
      <w:r>
        <w:rPr>
          <w:i/>
        </w:rPr>
        <w:t>Australia New Zealand Food Standards Code</w:t>
      </w:r>
    </w:p>
    <w:p w14:paraId="1A76F6E5" w14:textId="118D832B" w:rsidR="008F56BD" w:rsidRDefault="008F56BD" w:rsidP="008F56BD">
      <w:pPr>
        <w:pStyle w:val="FSCDraftingitem"/>
      </w:pPr>
      <w:r>
        <w:t>The Schedule varies Standard</w:t>
      </w:r>
      <w:r w:rsidR="00805E88">
        <w:t>s</w:t>
      </w:r>
      <w:r>
        <w:t xml:space="preserve"> in the </w:t>
      </w:r>
      <w:r>
        <w:rPr>
          <w:i/>
        </w:rPr>
        <w:t>Australia New Zealand Food Standards Code</w:t>
      </w:r>
      <w:r>
        <w:t>.</w:t>
      </w:r>
    </w:p>
    <w:p w14:paraId="60EA7CE4" w14:textId="77777777" w:rsidR="008F56BD" w:rsidRDefault="008F56BD" w:rsidP="008F56BD">
      <w:pPr>
        <w:pStyle w:val="FSCDraftingitemheading"/>
      </w:pPr>
      <w:r>
        <w:t>3</w:t>
      </w:r>
      <w:r>
        <w:tab/>
        <w:t>Commencement</w:t>
      </w:r>
    </w:p>
    <w:p w14:paraId="1EC61E88" w14:textId="77777777" w:rsidR="008F56BD" w:rsidRDefault="008F56BD" w:rsidP="008F56BD">
      <w:pPr>
        <w:pStyle w:val="FSCDraftingitem"/>
      </w:pPr>
      <w:r>
        <w:t>The variation commences on the date of gazettal.</w:t>
      </w:r>
    </w:p>
    <w:p w14:paraId="318E09DE" w14:textId="77777777" w:rsidR="008F56BD" w:rsidRDefault="008F56BD" w:rsidP="008F56BD">
      <w:pPr>
        <w:jc w:val="center"/>
        <w:rPr>
          <w:b/>
          <w:sz w:val="20"/>
        </w:rPr>
      </w:pPr>
      <w:r>
        <w:rPr>
          <w:b/>
          <w:sz w:val="20"/>
        </w:rPr>
        <w:t>Schedule</w:t>
      </w:r>
    </w:p>
    <w:p w14:paraId="311D67E9" w14:textId="77777777" w:rsidR="008F56BD" w:rsidRDefault="008F56BD" w:rsidP="008F56BD">
      <w:pPr>
        <w:pStyle w:val="FSCDraftingitemheading"/>
        <w:rPr>
          <w:b w:val="0"/>
          <w:lang w:bidi="en-US"/>
        </w:rPr>
      </w:pPr>
      <w:r>
        <w:rPr>
          <w:lang w:bidi="en-US"/>
        </w:rPr>
        <w:t>[1]</w:t>
      </w:r>
      <w:r>
        <w:rPr>
          <w:lang w:bidi="en-US"/>
        </w:rPr>
        <w:tab/>
        <w:t xml:space="preserve">Standard 1.5.3 </w:t>
      </w:r>
      <w:r>
        <w:rPr>
          <w:b w:val="0"/>
          <w:lang w:bidi="en-US"/>
        </w:rPr>
        <w:t>is varied by omitting section 1.5.3—3 and inserting</w:t>
      </w:r>
    </w:p>
    <w:p w14:paraId="50281C73" w14:textId="77777777" w:rsidR="008F56BD" w:rsidRDefault="008F56BD" w:rsidP="008F56BD">
      <w:pPr>
        <w:pStyle w:val="FSCh5Section"/>
        <w:rPr>
          <w:lang w:bidi="en-US"/>
        </w:rPr>
      </w:pPr>
      <w:r>
        <w:rPr>
          <w:lang w:bidi="en-US"/>
        </w:rPr>
        <w:t>1.5.3—3</w:t>
      </w:r>
      <w:r>
        <w:rPr>
          <w:lang w:bidi="en-US"/>
        </w:rPr>
        <w:tab/>
        <w:t>Irradiation of fresh fruit and vegetables</w:t>
      </w:r>
    </w:p>
    <w:p w14:paraId="2DD85A92" w14:textId="77777777" w:rsidR="008F56BD" w:rsidRDefault="008F56BD" w:rsidP="008F56BD">
      <w:pPr>
        <w:pStyle w:val="FSCtMain"/>
        <w:rPr>
          <w:lang w:bidi="en-US"/>
        </w:rPr>
      </w:pPr>
      <w:r>
        <w:rPr>
          <w:lang w:bidi="en-US"/>
        </w:rPr>
        <w:tab/>
      </w:r>
      <w:r>
        <w:t>(1)</w:t>
      </w:r>
      <w:r>
        <w:tab/>
      </w:r>
      <w:r>
        <w:rPr>
          <w:lang w:bidi="en-US"/>
        </w:rPr>
        <w:tab/>
        <w:t>Fresh fruit and fresh vegetables may be irradiated for the purpose of pest disinfestation for a phytosanitary objective, if the absorbed dose is:</w:t>
      </w:r>
      <w:r>
        <w:rPr>
          <w:lang w:bidi="en-US"/>
        </w:rPr>
        <w:tab/>
      </w:r>
    </w:p>
    <w:p w14:paraId="60175101" w14:textId="77777777" w:rsidR="008F56BD" w:rsidRDefault="008F56BD" w:rsidP="008F56BD">
      <w:pPr>
        <w:pStyle w:val="FSCtPara"/>
      </w:pPr>
      <w:r>
        <w:tab/>
        <w:t>(a)</w:t>
      </w:r>
      <w:r>
        <w:tab/>
        <w:t>no lower than 150 Gy</w:t>
      </w:r>
      <w:r>
        <w:rPr>
          <w:rFonts w:eastAsia="Calibri"/>
          <w:lang w:val="en-AU"/>
        </w:rPr>
        <w:t xml:space="preserve">; </w:t>
      </w:r>
      <w:r>
        <w:t>and</w:t>
      </w:r>
    </w:p>
    <w:p w14:paraId="798B7584" w14:textId="77777777" w:rsidR="008F56BD" w:rsidRDefault="008F56BD" w:rsidP="008F56BD">
      <w:pPr>
        <w:pStyle w:val="FSCtPara"/>
        <w:rPr>
          <w:rFonts w:eastAsia="Calibri"/>
          <w:szCs w:val="20"/>
          <w:lang w:val="en-AU"/>
        </w:rPr>
      </w:pPr>
      <w:r>
        <w:tab/>
        <w:t>(b)</w:t>
      </w:r>
      <w:r>
        <w:tab/>
      </w:r>
      <w:r>
        <w:rPr>
          <w:rFonts w:eastAsia="Calibri"/>
          <w:szCs w:val="20"/>
          <w:lang w:val="en-AU"/>
        </w:rPr>
        <w:t>no higher than 1 kGy.</w:t>
      </w:r>
    </w:p>
    <w:p w14:paraId="76284734" w14:textId="77777777" w:rsidR="008F56BD" w:rsidRDefault="008F56BD" w:rsidP="008F56BD">
      <w:pPr>
        <w:pStyle w:val="FSCtMain"/>
      </w:pPr>
      <w:r>
        <w:tab/>
        <w:t>(2)</w:t>
      </w:r>
      <w:r>
        <w:tab/>
        <w:t>In this section:</w:t>
      </w:r>
    </w:p>
    <w:p w14:paraId="024098A5" w14:textId="77777777" w:rsidR="008F56BD" w:rsidRDefault="008F56BD" w:rsidP="008F56BD">
      <w:pPr>
        <w:pStyle w:val="FSCtMain"/>
      </w:pPr>
      <w:r>
        <w:rPr>
          <w:b/>
          <w:i/>
        </w:rPr>
        <w:tab/>
      </w:r>
      <w:r>
        <w:rPr>
          <w:b/>
          <w:i/>
        </w:rPr>
        <w:tab/>
        <w:t xml:space="preserve">fruit </w:t>
      </w:r>
      <w:r>
        <w:t>includes (but is not limited to) a fruit described in Schedule 22; and</w:t>
      </w:r>
    </w:p>
    <w:p w14:paraId="032CA413" w14:textId="77777777" w:rsidR="008F56BD" w:rsidRDefault="008F56BD" w:rsidP="008F56BD">
      <w:pPr>
        <w:pStyle w:val="FSCtMain"/>
      </w:pPr>
      <w:r>
        <w:rPr>
          <w:b/>
          <w:i/>
        </w:rPr>
        <w:tab/>
      </w:r>
      <w:r>
        <w:rPr>
          <w:b/>
          <w:i/>
        </w:rPr>
        <w:tab/>
        <w:t xml:space="preserve">vegetables </w:t>
      </w:r>
      <w:r>
        <w:t>includes (but is not limited to) a vegetable described in Schedule 22.</w:t>
      </w:r>
    </w:p>
    <w:p w14:paraId="629F0DDF" w14:textId="77777777" w:rsidR="008F56BD" w:rsidRDefault="008F56BD" w:rsidP="008F56BD">
      <w:pPr>
        <w:pStyle w:val="FSCtMain"/>
      </w:pPr>
      <w:r>
        <w:t>                    (3)      Despite subsection (2), any of the following is not a fruit or a vegetable for the purposes of this section: dried pulses; legumes; nuts; or seeds.</w:t>
      </w:r>
    </w:p>
    <w:p w14:paraId="0AE411DB" w14:textId="77777777" w:rsidR="008F56BD" w:rsidRDefault="008F56BD" w:rsidP="008F56BD">
      <w:pPr>
        <w:pStyle w:val="FSCtMain"/>
      </w:pPr>
    </w:p>
    <w:p w14:paraId="6A8DB554" w14:textId="7AC45938" w:rsidR="008F56BD" w:rsidRPr="00B32BD4" w:rsidRDefault="00C55CF8" w:rsidP="00B32BD4">
      <w:pPr>
        <w:pStyle w:val="FSCDraftingitemheading"/>
        <w:rPr>
          <w:b w:val="0"/>
          <w:lang w:bidi="en-US"/>
        </w:rPr>
      </w:pPr>
      <w:r>
        <w:rPr>
          <w:lang w:bidi="en-US"/>
        </w:rPr>
        <w:t>[2]</w:t>
      </w:r>
      <w:r>
        <w:rPr>
          <w:lang w:bidi="en-US"/>
        </w:rPr>
        <w:tab/>
        <w:t xml:space="preserve">Schedule 22 </w:t>
      </w:r>
      <w:r>
        <w:rPr>
          <w:b w:val="0"/>
          <w:lang w:bidi="en-US"/>
        </w:rPr>
        <w:t>is varied by omitting Note 1 and inserting</w:t>
      </w:r>
      <w:r w:rsidR="00B32BD4">
        <w:rPr>
          <w:b w:val="0"/>
          <w:lang w:bidi="en-US"/>
        </w:rPr>
        <w:br/>
      </w:r>
    </w:p>
    <w:p w14:paraId="04D5D394" w14:textId="77777777" w:rsidR="003C21B1" w:rsidRPr="001D1563" w:rsidRDefault="003C21B1" w:rsidP="003C21B1">
      <w:pPr>
        <w:pStyle w:val="FSCnatHeading"/>
      </w:pPr>
      <w:r w:rsidRPr="00B03261">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 </w:t>
      </w:r>
      <w:r w:rsidRPr="005F30A4">
        <w:rPr>
          <w:i/>
        </w:rPr>
        <w:t>Australia New Zealand Food Standards Code</w:t>
      </w:r>
      <w:r w:rsidRPr="001D1563">
        <w:rPr>
          <w:i/>
        </w:rPr>
        <w:t>.</w:t>
      </w:r>
      <w:r w:rsidRPr="001D1563">
        <w:t xml:space="preserve"> See also section 1.1.1—3.</w:t>
      </w:r>
    </w:p>
    <w:p w14:paraId="1A228133" w14:textId="6A43858A" w:rsidR="003C21B1" w:rsidRPr="001D1563" w:rsidRDefault="003C21B1" w:rsidP="003C21B1">
      <w:pPr>
        <w:pStyle w:val="FSCnatHeading"/>
      </w:pPr>
      <w:r w:rsidRPr="001D1563">
        <w:tab/>
        <w:t>This Standard describes foods and classes of foods for subsection 1.4.1—2(2), subsection 1.4.2—3(4), su</w:t>
      </w:r>
      <w:r>
        <w:t>bsection 1.5.3—3(2</w:t>
      </w:r>
      <w:r w:rsidRPr="001D1563">
        <w:t>)</w:t>
      </w:r>
      <w:r>
        <w:t xml:space="preserve">, </w:t>
      </w:r>
      <w:r w:rsidRPr="001D1563">
        <w:t>subsection 1.5.3—4(3), paragraph S5—4(2)(b), section S19—4 and section S19—5, and portions of food for subsection 1.4.2—3(2).</w:t>
      </w:r>
    </w:p>
    <w:p w14:paraId="11588C61" w14:textId="77777777" w:rsidR="008F56BD" w:rsidRPr="008F56BD" w:rsidRDefault="008F56BD" w:rsidP="008F56BD">
      <w:pPr>
        <w:rPr>
          <w:lang w:bidi="ar-SA"/>
        </w:rPr>
      </w:pPr>
    </w:p>
    <w:p w14:paraId="6DD6E213" w14:textId="77777777" w:rsidR="00456BD5" w:rsidRPr="00795D86" w:rsidRDefault="00456BD5" w:rsidP="00456BD5">
      <w:pPr>
        <w:rPr>
          <w:lang w:bidi="ar-SA"/>
        </w:rPr>
      </w:pPr>
    </w:p>
    <w:p w14:paraId="67ABD582" w14:textId="77777777" w:rsidR="00456BD5" w:rsidRDefault="00456BD5" w:rsidP="00456BD5">
      <w:pPr>
        <w:pStyle w:val="Heading2"/>
        <w:ind w:left="0" w:firstLine="0"/>
      </w:pPr>
      <w:r w:rsidRPr="00932F14">
        <w:br w:type="page"/>
      </w:r>
      <w:bookmarkStart w:id="295" w:name="_Toc65149723"/>
      <w:bookmarkStart w:id="296" w:name="_Toc65507104"/>
      <w:bookmarkStart w:id="297" w:name="_Toc65684169"/>
      <w:bookmarkStart w:id="298" w:name="_Toc71204396"/>
      <w:r w:rsidR="005E06C0" w:rsidRPr="00932F14">
        <w:lastRenderedPageBreak/>
        <w:t xml:space="preserve">Attachment </w:t>
      </w:r>
      <w:r w:rsidR="005E06C0">
        <w:t xml:space="preserve">B – </w:t>
      </w:r>
      <w:r>
        <w:t>Explanatory Statement</w:t>
      </w:r>
      <w:bookmarkEnd w:id="295"/>
      <w:bookmarkEnd w:id="296"/>
      <w:bookmarkEnd w:id="297"/>
      <w:bookmarkEnd w:id="298"/>
    </w:p>
    <w:p w14:paraId="462AB790"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6FD0F942" w14:textId="77777777" w:rsidR="00456BD5" w:rsidRDefault="00456BD5" w:rsidP="00456BD5">
      <w:pPr>
        <w:rPr>
          <w:lang w:val="en-AU" w:eastAsia="en-GB" w:bidi="ar-SA"/>
        </w:rPr>
      </w:pPr>
    </w:p>
    <w:p w14:paraId="3EF75309"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1395610" w14:textId="77777777" w:rsidR="00456BD5" w:rsidRPr="00D13E34" w:rsidRDefault="00456BD5" w:rsidP="00456BD5">
      <w:pPr>
        <w:widowControl/>
        <w:autoSpaceDE w:val="0"/>
        <w:autoSpaceDN w:val="0"/>
        <w:adjustRightInd w:val="0"/>
        <w:rPr>
          <w:rFonts w:eastAsia="Calibri" w:cs="Arial"/>
          <w:bCs/>
          <w:szCs w:val="22"/>
          <w:lang w:val="en-AU" w:bidi="ar-SA"/>
        </w:rPr>
      </w:pPr>
    </w:p>
    <w:p w14:paraId="7FA77CD3" w14:textId="77777777" w:rsidR="00456BD5" w:rsidRPr="008F56BD" w:rsidRDefault="00456BD5" w:rsidP="00456BD5">
      <w:pPr>
        <w:widowControl/>
        <w:autoSpaceDE w:val="0"/>
        <w:autoSpaceDN w:val="0"/>
        <w:adjustRightInd w:val="0"/>
        <w:rPr>
          <w:rFonts w:eastAsia="Calibri" w:cs="Arial"/>
          <w:bCs/>
          <w:szCs w:val="22"/>
          <w:lang w:val="en-AU" w:bidi="ar-SA"/>
        </w:rPr>
      </w:pPr>
      <w:r w:rsidRPr="008F56BD">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76CA2C3" w14:textId="77777777" w:rsidR="00456BD5" w:rsidRPr="00086988" w:rsidRDefault="00456BD5" w:rsidP="00456BD5">
      <w:pPr>
        <w:widowControl/>
        <w:autoSpaceDE w:val="0"/>
        <w:autoSpaceDN w:val="0"/>
        <w:adjustRightInd w:val="0"/>
        <w:rPr>
          <w:rFonts w:eastAsia="Calibri" w:cs="Arial"/>
          <w:bCs/>
          <w:szCs w:val="22"/>
          <w:lang w:val="en-AU" w:bidi="ar-SA"/>
        </w:rPr>
      </w:pPr>
    </w:p>
    <w:p w14:paraId="15321507" w14:textId="0D69D0B4" w:rsidR="008F56BD" w:rsidRDefault="008F56BD" w:rsidP="008F56BD">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The Authority accepted Application </w:t>
      </w:r>
      <w:r>
        <w:rPr>
          <w:rFonts w:eastAsia="Calibri" w:cs="Arial"/>
          <w:bCs/>
          <w:sz w:val="24"/>
          <w:szCs w:val="22"/>
          <w:lang w:val="en-AU" w:bidi="ar-SA"/>
        </w:rPr>
        <w:t xml:space="preserve">A1193 which </w:t>
      </w:r>
      <w:r>
        <w:rPr>
          <w:rFonts w:eastAsia="Calibri" w:cs="Arial"/>
          <w:bCs/>
          <w:szCs w:val="22"/>
          <w:lang w:val="en-AU" w:bidi="ar-SA"/>
        </w:rPr>
        <w:t>seeks permission to use irradiation as a phytosanitary measure (</w:t>
      </w:r>
      <w:r>
        <w:rPr>
          <w:lang w:bidi="ar-SA"/>
        </w:rPr>
        <w:t>pest disinfestation)</w:t>
      </w:r>
      <w:r>
        <w:rPr>
          <w:rFonts w:eastAsia="Calibri" w:cs="Arial"/>
          <w:bCs/>
          <w:szCs w:val="22"/>
          <w:lang w:val="en-AU" w:bidi="ar-SA"/>
        </w:rPr>
        <w:t xml:space="preserve"> for all types of fresh fruit and vegetables. The Authority considered the application in accordance with Division 1 of Part 3 and has approved a draft variation to the Code. </w:t>
      </w:r>
    </w:p>
    <w:p w14:paraId="701991C5" w14:textId="77777777" w:rsidR="00456BD5" w:rsidRPr="00D13E34" w:rsidRDefault="00456BD5" w:rsidP="00456BD5">
      <w:pPr>
        <w:widowControl/>
        <w:autoSpaceDE w:val="0"/>
        <w:autoSpaceDN w:val="0"/>
        <w:adjustRightInd w:val="0"/>
        <w:rPr>
          <w:rFonts w:eastAsia="Calibri" w:cs="Arial"/>
          <w:bCs/>
          <w:szCs w:val="22"/>
          <w:lang w:val="en-AU" w:bidi="ar-SA"/>
        </w:rPr>
      </w:pPr>
    </w:p>
    <w:p w14:paraId="1FFA1819" w14:textId="5331068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4E5915">
        <w:rPr>
          <w:rFonts w:eastAsia="Calibri" w:cs="Arial"/>
          <w:bCs/>
          <w:szCs w:val="22"/>
          <w:lang w:val="en-AU" w:bidi="ar-SA"/>
        </w:rPr>
        <w:t xml:space="preserve">Food Ministers’ Meeting (formerly the </w:t>
      </w:r>
      <w:r>
        <w:rPr>
          <w:rFonts w:cs="Helvetica"/>
          <w:lang w:val="en-AU"/>
        </w:rPr>
        <w:t xml:space="preserve">Australia and New Zealand Ministerial Forum on Food </w:t>
      </w:r>
      <w:r>
        <w:rPr>
          <w:rFonts w:cs="Arial"/>
        </w:rPr>
        <w:t>Regulation</w:t>
      </w:r>
      <w:r w:rsidR="004E5915">
        <w:rPr>
          <w:rFonts w:cs="Arial"/>
        </w:rPr>
        <w:t>)</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587B2F5A" w14:textId="77777777" w:rsidR="00456BD5" w:rsidRPr="00D13E34" w:rsidRDefault="00456BD5" w:rsidP="00456BD5">
      <w:pPr>
        <w:widowControl/>
        <w:autoSpaceDE w:val="0"/>
        <w:autoSpaceDN w:val="0"/>
        <w:adjustRightInd w:val="0"/>
        <w:rPr>
          <w:rFonts w:eastAsia="Calibri" w:cs="Arial"/>
          <w:bCs/>
          <w:szCs w:val="22"/>
          <w:lang w:val="en-AU" w:bidi="ar-SA"/>
        </w:rPr>
      </w:pPr>
    </w:p>
    <w:p w14:paraId="08D47959"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5A400327" w14:textId="77777777" w:rsidR="00456BD5" w:rsidRDefault="00456BD5" w:rsidP="00456BD5">
      <w:pPr>
        <w:rPr>
          <w:lang w:val="en-AU" w:eastAsia="en-GB" w:bidi="ar-SA"/>
        </w:rPr>
      </w:pPr>
    </w:p>
    <w:p w14:paraId="64C5D55E"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14976E10" w14:textId="77777777" w:rsidR="00456BD5" w:rsidRDefault="00456BD5" w:rsidP="00456BD5">
      <w:pPr>
        <w:rPr>
          <w:lang w:val="en-AU" w:eastAsia="en-GB" w:bidi="ar-SA"/>
        </w:rPr>
      </w:pPr>
    </w:p>
    <w:p w14:paraId="10661968" w14:textId="0491BA42" w:rsidR="00456BD5" w:rsidRDefault="00456BD5" w:rsidP="00456BD5">
      <w:pPr>
        <w:rPr>
          <w:lang w:val="en-AU" w:eastAsia="en-GB" w:bidi="ar-SA"/>
        </w:rPr>
      </w:pPr>
      <w:r>
        <w:rPr>
          <w:lang w:val="en-AU" w:eastAsia="en-GB" w:bidi="ar-SA"/>
        </w:rPr>
        <w:t xml:space="preserve">The Authority has approved </w:t>
      </w:r>
      <w:r w:rsidR="008F56BD">
        <w:rPr>
          <w:lang w:val="en-AU" w:eastAsia="en-GB" w:bidi="ar-SA"/>
        </w:rPr>
        <w:t>a draft variation amending section 1.5.3––3</w:t>
      </w:r>
      <w:r w:rsidR="008F56BD">
        <w:rPr>
          <w:rFonts w:eastAsia="Calibri" w:cs="Arial"/>
          <w:bCs/>
          <w:szCs w:val="22"/>
          <w:lang w:val="en-AU" w:bidi="ar-SA"/>
        </w:rPr>
        <w:t>, replacing the existing permission for the irradiation of 26 fruits and vegetables, with a permission for the irradiation of all fresh fruit and vegetables</w:t>
      </w:r>
      <w:r w:rsidR="00A97846">
        <w:rPr>
          <w:rFonts w:eastAsia="Calibri" w:cs="Arial"/>
          <w:bCs/>
          <w:szCs w:val="22"/>
          <w:lang w:val="en-AU" w:bidi="ar-SA"/>
        </w:rPr>
        <w:t xml:space="preserve"> </w:t>
      </w:r>
      <w:r w:rsidR="00A97846" w:rsidRPr="00A97846">
        <w:rPr>
          <w:rFonts w:eastAsia="Calibri" w:cs="Arial"/>
          <w:bCs/>
          <w:szCs w:val="22"/>
          <w:lang w:val="en-AU" w:bidi="ar-SA"/>
        </w:rPr>
        <w:t>for the purpose of pest disinfestation for a phytosanitary objective</w:t>
      </w:r>
      <w:r w:rsidR="008F56BD">
        <w:rPr>
          <w:rFonts w:eastAsia="Calibri" w:cs="Arial"/>
          <w:bCs/>
          <w:szCs w:val="22"/>
          <w:lang w:val="en-AU" w:bidi="ar-SA"/>
        </w:rPr>
        <w:t>. Excluded from scope are dried pulses, legumes, nuts and seeds.</w:t>
      </w:r>
      <w:r w:rsidR="006546FA">
        <w:rPr>
          <w:rFonts w:eastAsia="Calibri" w:cs="Arial"/>
          <w:bCs/>
          <w:szCs w:val="22"/>
          <w:lang w:val="en-AU" w:bidi="ar-SA"/>
        </w:rPr>
        <w:t xml:space="preserve"> </w:t>
      </w:r>
      <w:r w:rsidR="006B4307">
        <w:rPr>
          <w:rFonts w:eastAsia="Calibri" w:cs="Arial"/>
          <w:bCs/>
          <w:szCs w:val="22"/>
          <w:lang w:val="en-AU" w:bidi="ar-SA"/>
        </w:rPr>
        <w:t>The approved draft variation also amends</w:t>
      </w:r>
      <w:r w:rsidR="006546FA">
        <w:rPr>
          <w:rFonts w:eastAsia="Calibri" w:cs="Arial"/>
          <w:bCs/>
          <w:szCs w:val="22"/>
          <w:lang w:val="en-AU" w:bidi="ar-SA"/>
        </w:rPr>
        <w:t xml:space="preserve"> Note 1 of Schedule 22 </w:t>
      </w:r>
      <w:r w:rsidR="006B4307">
        <w:rPr>
          <w:rFonts w:eastAsia="Calibri" w:cs="Arial"/>
          <w:bCs/>
          <w:szCs w:val="22"/>
          <w:lang w:val="en-AU" w:bidi="ar-SA"/>
        </w:rPr>
        <w:t>to explain</w:t>
      </w:r>
      <w:r w:rsidR="006546FA" w:rsidRPr="006546FA">
        <w:rPr>
          <w:rFonts w:eastAsia="Calibri" w:cs="Arial"/>
          <w:bCs/>
          <w:szCs w:val="22"/>
          <w:lang w:val="en-AU" w:bidi="ar-SA"/>
        </w:rPr>
        <w:t xml:space="preserve"> that a purpose of Schedule 22 is to describe foods and classes of foods for the purposes of subsection 1.5.3—3(2)</w:t>
      </w:r>
      <w:r w:rsidR="006B4307">
        <w:rPr>
          <w:rFonts w:eastAsia="Calibri" w:cs="Arial"/>
          <w:bCs/>
          <w:szCs w:val="22"/>
          <w:lang w:val="en-AU" w:bidi="ar-SA"/>
        </w:rPr>
        <w:t xml:space="preserve"> of the Code.</w:t>
      </w:r>
    </w:p>
    <w:p w14:paraId="37E96A19" w14:textId="77777777" w:rsidR="00456BD5" w:rsidRDefault="00456BD5" w:rsidP="00456BD5">
      <w:pPr>
        <w:rPr>
          <w:lang w:val="en-AU" w:eastAsia="en-GB" w:bidi="ar-SA"/>
        </w:rPr>
      </w:pPr>
    </w:p>
    <w:p w14:paraId="10980738"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359A36C" w14:textId="77777777" w:rsidR="00456BD5" w:rsidRDefault="00456BD5" w:rsidP="00456BD5">
      <w:pPr>
        <w:rPr>
          <w:lang w:val="en-AU" w:eastAsia="en-GB" w:bidi="ar-SA"/>
        </w:rPr>
      </w:pPr>
    </w:p>
    <w:p w14:paraId="7D4113BD" w14:textId="77777777" w:rsidR="008F56BD" w:rsidRDefault="008F56BD" w:rsidP="008F56BD">
      <w:pPr>
        <w:widowControl/>
        <w:autoSpaceDE w:val="0"/>
        <w:autoSpaceDN w:val="0"/>
        <w:adjustRightInd w:val="0"/>
        <w:rPr>
          <w:rFonts w:eastAsia="Calibri" w:cs="Arial"/>
          <w:bCs/>
          <w:szCs w:val="22"/>
          <w:lang w:val="en-AU" w:bidi="ar-SA"/>
        </w:rPr>
      </w:pPr>
      <w:r>
        <w:rPr>
          <w:rFonts w:eastAsia="Calibri" w:cs="Arial"/>
          <w:bCs/>
          <w:szCs w:val="22"/>
          <w:lang w:val="en-AU" w:bidi="ar-SA"/>
        </w:rPr>
        <w:t>The variation does not incorporate any documents by reference.</w:t>
      </w:r>
    </w:p>
    <w:p w14:paraId="5B4BBCE1" w14:textId="1060D05A" w:rsidR="00456BD5" w:rsidRDefault="00456BD5" w:rsidP="008F56BD">
      <w:pPr>
        <w:widowControl/>
        <w:autoSpaceDE w:val="0"/>
        <w:autoSpaceDN w:val="0"/>
        <w:adjustRightInd w:val="0"/>
        <w:rPr>
          <w:lang w:val="en-AU" w:eastAsia="en-GB" w:bidi="ar-SA"/>
        </w:rPr>
      </w:pPr>
    </w:p>
    <w:p w14:paraId="0399FB54"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454B7518" w14:textId="77777777" w:rsidR="00456BD5" w:rsidRDefault="00456BD5" w:rsidP="00456BD5">
      <w:pPr>
        <w:rPr>
          <w:lang w:val="en-AU" w:eastAsia="en-GB" w:bidi="ar-SA"/>
        </w:rPr>
      </w:pPr>
    </w:p>
    <w:p w14:paraId="40136C61" w14:textId="1EE0CDA5" w:rsidR="008F56BD" w:rsidRPr="008F56BD" w:rsidRDefault="00456BD5" w:rsidP="00456BD5">
      <w:pPr>
        <w:rPr>
          <w:szCs w:val="22"/>
        </w:rPr>
      </w:pPr>
      <w:r w:rsidRPr="00F634A1">
        <w:rPr>
          <w:szCs w:val="22"/>
        </w:rPr>
        <w:t xml:space="preserve">In accordance with the procedure in Division </w:t>
      </w:r>
      <w:r w:rsidR="008F56BD">
        <w:rPr>
          <w:szCs w:val="22"/>
        </w:rPr>
        <w:t>1</w:t>
      </w:r>
      <w:r>
        <w:rPr>
          <w:color w:val="FF0000"/>
          <w:szCs w:val="22"/>
        </w:rPr>
        <w:t xml:space="preserve"> </w:t>
      </w:r>
      <w:r w:rsidRPr="00F634A1">
        <w:rPr>
          <w:szCs w:val="22"/>
        </w:rPr>
        <w:t>of Part</w:t>
      </w:r>
      <w:r w:rsidR="008F56BD">
        <w:rPr>
          <w:szCs w:val="22"/>
        </w:rPr>
        <w:t xml:space="preserve"> 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008F56BD">
        <w:rPr>
          <w:szCs w:val="22"/>
        </w:rPr>
        <w:t>Application A1193</w:t>
      </w:r>
      <w:r w:rsidRPr="00D06616">
        <w:rPr>
          <w:color w:val="FF0000"/>
          <w:szCs w:val="22"/>
        </w:rPr>
        <w:t xml:space="preserve"> </w:t>
      </w:r>
      <w:r w:rsidRPr="00F634A1">
        <w:rPr>
          <w:szCs w:val="22"/>
        </w:rPr>
        <w:t xml:space="preserve">included </w:t>
      </w:r>
      <w:r w:rsidRPr="008F56BD">
        <w:rPr>
          <w:szCs w:val="22"/>
        </w:rPr>
        <w:t xml:space="preserve">one round of public consultation following an assessment and the preparation of a draft </w:t>
      </w:r>
      <w:r w:rsidR="008F56BD" w:rsidRPr="008F56BD">
        <w:rPr>
          <w:szCs w:val="22"/>
        </w:rPr>
        <w:t xml:space="preserve">variation and associated assessment summary. </w:t>
      </w:r>
    </w:p>
    <w:p w14:paraId="313DF435" w14:textId="29DF298F" w:rsidR="008F56BD" w:rsidRPr="008F56BD" w:rsidRDefault="008F56BD" w:rsidP="00456BD5">
      <w:pPr>
        <w:rPr>
          <w:szCs w:val="22"/>
        </w:rPr>
      </w:pPr>
    </w:p>
    <w:p w14:paraId="42354B8E" w14:textId="400BF466" w:rsidR="008F56BD" w:rsidRDefault="008F56BD" w:rsidP="008F56BD">
      <w:pPr>
        <w:rPr>
          <w:bCs/>
        </w:rPr>
      </w:pPr>
      <w:r>
        <w:rPr>
          <w:bCs/>
        </w:rPr>
        <w:t xml:space="preserve">The Office of Best Practice Regulation (OBPR) granted the Authority a standing exemption from the requirement to develop a Regulatory Impact Statement (RIS) for proposed variations to the Code permitting the irradiation of foods (OBPR correspondence dated 15 May 2012, reference 13845). This standing exemption was provided as such changes are considered minor, machinery and deregulatory in nature. The exemption applies to the introduction of a food to the food supply that has been determined to be safe. </w:t>
      </w:r>
    </w:p>
    <w:p w14:paraId="11A052F1" w14:textId="77777777" w:rsidR="008F56BD" w:rsidRDefault="008F56BD" w:rsidP="008F56BD">
      <w:pPr>
        <w:rPr>
          <w:bCs/>
        </w:rPr>
      </w:pPr>
    </w:p>
    <w:p w14:paraId="714A2B96" w14:textId="58A805EE" w:rsidR="008F56BD" w:rsidRPr="00086988" w:rsidRDefault="008F56BD" w:rsidP="008F56BD">
      <w:pPr>
        <w:rPr>
          <w:szCs w:val="22"/>
        </w:rPr>
      </w:pPr>
      <w:r>
        <w:rPr>
          <w:bCs/>
        </w:rPr>
        <w:t xml:space="preserve">The use of irradiation as a phytosanitary measure is not compulsory and individual </w:t>
      </w:r>
      <w:r w:rsidRPr="00086988">
        <w:rPr>
          <w:bCs/>
        </w:rPr>
        <w:t>growers/suppliers will make their own decision as to its use, based on a consideration of the costs and benefits to their business.</w:t>
      </w:r>
    </w:p>
    <w:p w14:paraId="653A52E8" w14:textId="77777777" w:rsidR="00456BD5" w:rsidRPr="00086988" w:rsidRDefault="00456BD5" w:rsidP="00456BD5">
      <w:pPr>
        <w:rPr>
          <w:lang w:val="en-AU" w:eastAsia="en-GB" w:bidi="ar-SA"/>
        </w:rPr>
      </w:pPr>
    </w:p>
    <w:p w14:paraId="098B813A"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7E9339C" w14:textId="77777777" w:rsidR="00456BD5" w:rsidRDefault="00456BD5" w:rsidP="00456BD5">
      <w:pPr>
        <w:rPr>
          <w:rFonts w:eastAsiaTheme="minorHAnsi"/>
          <w:lang w:val="en-AU" w:bidi="ar-SA"/>
        </w:rPr>
      </w:pPr>
    </w:p>
    <w:p w14:paraId="586DC196"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5A87023" w14:textId="77777777" w:rsidR="00456BD5" w:rsidRDefault="00456BD5" w:rsidP="00456BD5">
      <w:pPr>
        <w:rPr>
          <w:rFonts w:eastAsiaTheme="minorHAnsi"/>
          <w:lang w:val="en-AU" w:bidi="ar-SA"/>
        </w:rPr>
      </w:pPr>
    </w:p>
    <w:p w14:paraId="29E29D9F"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75C5AB5C" w14:textId="79304776" w:rsidR="00456BD5" w:rsidRDefault="00456BD5" w:rsidP="00456BD5">
      <w:pPr>
        <w:rPr>
          <w:b/>
        </w:rPr>
      </w:pPr>
    </w:p>
    <w:p w14:paraId="64965B4A" w14:textId="77777777" w:rsidR="008F56BD" w:rsidRPr="008F56BD" w:rsidRDefault="008F56BD" w:rsidP="008F56BD">
      <w:pPr>
        <w:pStyle w:val="Default"/>
        <w:rPr>
          <w:rFonts w:ascii="Arial" w:hAnsi="Arial" w:cs="Arial"/>
          <w:sz w:val="22"/>
          <w:szCs w:val="22"/>
        </w:rPr>
      </w:pPr>
      <w:r w:rsidRPr="00FD7246">
        <w:rPr>
          <w:rFonts w:ascii="Arial" w:hAnsi="Arial" w:cs="Arial"/>
          <w:b/>
          <w:sz w:val="22"/>
          <w:szCs w:val="22"/>
        </w:rPr>
        <w:t>Item [1]</w:t>
      </w:r>
      <w:r w:rsidRPr="008F56BD">
        <w:rPr>
          <w:rFonts w:ascii="Arial" w:hAnsi="Arial" w:cs="Arial"/>
          <w:sz w:val="22"/>
          <w:szCs w:val="22"/>
        </w:rPr>
        <w:t xml:space="preserve"> amends Standard 1.5.3 by omitting section 1.5.3—3 and substituting a new section 1.5.3—3. </w:t>
      </w:r>
    </w:p>
    <w:p w14:paraId="7739008B" w14:textId="77777777" w:rsidR="008F56BD" w:rsidRPr="008F56BD" w:rsidRDefault="008F56BD" w:rsidP="008F56BD">
      <w:pPr>
        <w:pStyle w:val="Default"/>
        <w:rPr>
          <w:rFonts w:ascii="Arial" w:hAnsi="Arial" w:cs="Arial"/>
          <w:sz w:val="22"/>
          <w:szCs w:val="22"/>
        </w:rPr>
      </w:pPr>
    </w:p>
    <w:p w14:paraId="60D6CC74" w14:textId="77777777" w:rsidR="008F56BD" w:rsidRPr="008F56BD" w:rsidRDefault="008F56BD" w:rsidP="008F56BD">
      <w:pPr>
        <w:pStyle w:val="Default"/>
        <w:rPr>
          <w:rFonts w:ascii="Arial" w:hAnsi="Arial" w:cs="Arial"/>
          <w:sz w:val="22"/>
          <w:szCs w:val="22"/>
        </w:rPr>
      </w:pPr>
      <w:r w:rsidRPr="008F56BD">
        <w:rPr>
          <w:rFonts w:ascii="Arial" w:hAnsi="Arial" w:cs="Arial"/>
          <w:sz w:val="22"/>
          <w:szCs w:val="22"/>
        </w:rPr>
        <w:t xml:space="preserve">New subsection 1.5.3—3(1) will provide that </w:t>
      </w:r>
      <w:r w:rsidRPr="008F56BD">
        <w:rPr>
          <w:rFonts w:ascii="Arial" w:hAnsi="Arial" w:cs="Arial"/>
          <w:sz w:val="22"/>
          <w:szCs w:val="22"/>
          <w:lang w:bidi="en-US"/>
        </w:rPr>
        <w:t xml:space="preserve">fresh fruit and/or fresh vegetables may be irradiated for the purpose of pest disinfestation for a phytosanitary objective provided that in each case the absorbed dose is: </w:t>
      </w:r>
      <w:r w:rsidRPr="008F56BD">
        <w:rPr>
          <w:rFonts w:ascii="Arial" w:hAnsi="Arial" w:cs="Arial"/>
          <w:sz w:val="22"/>
          <w:szCs w:val="22"/>
        </w:rPr>
        <w:t xml:space="preserve">no lower than </w:t>
      </w:r>
      <w:r w:rsidRPr="008F56BD">
        <w:rPr>
          <w:rFonts w:ascii="Arial" w:eastAsia="Calibri" w:hAnsi="Arial" w:cs="Arial"/>
          <w:bCs/>
          <w:sz w:val="22"/>
          <w:szCs w:val="22"/>
        </w:rPr>
        <w:t xml:space="preserve">150 </w:t>
      </w:r>
      <w:r w:rsidRPr="008F56BD">
        <w:rPr>
          <w:rFonts w:ascii="Arial" w:hAnsi="Arial" w:cs="Arial"/>
          <w:sz w:val="22"/>
          <w:szCs w:val="22"/>
        </w:rPr>
        <w:t xml:space="preserve">Gray (Gy) </w:t>
      </w:r>
      <w:r w:rsidRPr="008F56BD">
        <w:rPr>
          <w:rFonts w:ascii="Arial" w:eastAsia="Calibri" w:hAnsi="Arial" w:cs="Arial"/>
          <w:bCs/>
          <w:sz w:val="22"/>
          <w:szCs w:val="22"/>
        </w:rPr>
        <w:t>and a maximum dose is 1 </w:t>
      </w:r>
      <w:r w:rsidRPr="008F56BD">
        <w:rPr>
          <w:rFonts w:ascii="Arial" w:hAnsi="Arial" w:cs="Arial"/>
          <w:sz w:val="22"/>
          <w:szCs w:val="22"/>
        </w:rPr>
        <w:t>kiloGray (kGy)</w:t>
      </w:r>
      <w:r w:rsidRPr="008F56BD">
        <w:rPr>
          <w:rFonts w:ascii="Arial" w:eastAsia="Calibri" w:hAnsi="Arial" w:cs="Arial"/>
          <w:sz w:val="22"/>
          <w:szCs w:val="22"/>
        </w:rPr>
        <w:t>.</w:t>
      </w:r>
    </w:p>
    <w:p w14:paraId="2B6E7700" w14:textId="77777777" w:rsidR="008F56BD" w:rsidRPr="008F56BD" w:rsidRDefault="008F56BD" w:rsidP="008F56BD">
      <w:pPr>
        <w:pStyle w:val="Default"/>
        <w:rPr>
          <w:rFonts w:ascii="Arial" w:hAnsi="Arial" w:cs="Arial"/>
          <w:sz w:val="22"/>
          <w:szCs w:val="22"/>
        </w:rPr>
      </w:pPr>
    </w:p>
    <w:p w14:paraId="47D81450" w14:textId="77777777" w:rsidR="008F56BD" w:rsidRPr="008F56BD" w:rsidRDefault="008F56BD" w:rsidP="008F56BD">
      <w:pPr>
        <w:pStyle w:val="Default"/>
        <w:rPr>
          <w:rFonts w:ascii="Arial" w:hAnsi="Arial" w:cs="Arial"/>
          <w:sz w:val="22"/>
          <w:szCs w:val="22"/>
        </w:rPr>
      </w:pPr>
      <w:r w:rsidRPr="008F56BD">
        <w:rPr>
          <w:rFonts w:ascii="Arial" w:hAnsi="Arial" w:cs="Arial"/>
          <w:sz w:val="22"/>
          <w:szCs w:val="22"/>
        </w:rPr>
        <w:t>New subsection 1.5.3—3(2) will provide that, for the purposes of new subsection 1.5.3—3(1): the term ‘vegetable’ includes (but is not limited to) a vegetable described in Schedule 22; and the term ‘fruit’ includes (but is not limited to) a fruit described in Schedule 22.  Both are an inclusive definition. The effect will be that:</w:t>
      </w:r>
      <w:r w:rsidRPr="008F56BD">
        <w:rPr>
          <w:rFonts w:ascii="Arial" w:hAnsi="Arial" w:cs="Arial"/>
          <w:sz w:val="22"/>
          <w:szCs w:val="22"/>
        </w:rPr>
        <w:br/>
      </w:r>
    </w:p>
    <w:p w14:paraId="47902EAF" w14:textId="77777777" w:rsidR="008F56BD" w:rsidRPr="008F56BD" w:rsidRDefault="008F56BD" w:rsidP="00E01B62">
      <w:pPr>
        <w:pStyle w:val="Default"/>
        <w:numPr>
          <w:ilvl w:val="0"/>
          <w:numId w:val="8"/>
        </w:numPr>
        <w:rPr>
          <w:rFonts w:ascii="Arial" w:hAnsi="Arial" w:cs="Arial"/>
          <w:sz w:val="22"/>
          <w:szCs w:val="22"/>
        </w:rPr>
      </w:pPr>
      <w:r w:rsidRPr="008F56BD">
        <w:rPr>
          <w:rFonts w:ascii="Arial" w:hAnsi="Arial" w:cs="Arial"/>
          <w:sz w:val="22"/>
          <w:szCs w:val="22"/>
        </w:rPr>
        <w:t>the term ‘fruit’ in subsection 1.5.3—3(1) includes (but is not limited to): plant material that meets the general description of a ‘fruit’ in Schedule 22; and/or plant material that is listed in the list of commodities provided in Schedule 22 for ‘fruit’; and</w:t>
      </w:r>
    </w:p>
    <w:p w14:paraId="015BBF74" w14:textId="77777777" w:rsidR="008F56BD" w:rsidRPr="008F56BD" w:rsidRDefault="008F56BD" w:rsidP="00E01B62">
      <w:pPr>
        <w:pStyle w:val="Default"/>
        <w:numPr>
          <w:ilvl w:val="0"/>
          <w:numId w:val="8"/>
        </w:numPr>
        <w:rPr>
          <w:rFonts w:ascii="Arial" w:hAnsi="Arial" w:cs="Arial"/>
          <w:sz w:val="22"/>
          <w:szCs w:val="22"/>
        </w:rPr>
      </w:pPr>
      <w:r w:rsidRPr="008F56BD">
        <w:rPr>
          <w:rFonts w:ascii="Arial" w:hAnsi="Arial" w:cs="Arial"/>
          <w:sz w:val="22"/>
          <w:szCs w:val="22"/>
        </w:rPr>
        <w:t xml:space="preserve">the term ‘vegetable’ in subsection 1.5.3—3(1) includes (but is not limited to): plant material that meets the general description of a ‘vegetable’ in Schedule 22; and/or plant material that is listed in the list of commodities provided in Schedule 22 for ‘vegetables’. </w:t>
      </w:r>
      <w:r w:rsidRPr="008F56BD">
        <w:rPr>
          <w:rFonts w:ascii="Arial" w:hAnsi="Arial" w:cs="Arial"/>
          <w:sz w:val="22"/>
          <w:szCs w:val="22"/>
        </w:rPr>
        <w:br/>
      </w:r>
    </w:p>
    <w:p w14:paraId="37CC6A61" w14:textId="77777777" w:rsidR="008F56BD" w:rsidRPr="008F56BD" w:rsidRDefault="008F56BD" w:rsidP="008F56BD">
      <w:pPr>
        <w:pStyle w:val="Default"/>
        <w:rPr>
          <w:rFonts w:ascii="Arial" w:hAnsi="Arial" w:cs="Arial"/>
          <w:sz w:val="22"/>
          <w:szCs w:val="22"/>
        </w:rPr>
      </w:pPr>
      <w:r w:rsidRPr="008F56BD">
        <w:rPr>
          <w:rFonts w:ascii="Arial" w:hAnsi="Arial" w:cs="Arial"/>
          <w:sz w:val="22"/>
          <w:szCs w:val="22"/>
        </w:rPr>
        <w:t>The use of the phrase ‘includes (but is not limited to)’ makes clear that a ‘fruit’ or ‘vegetable’ for the purposes of subsection 1.5.3—3(1) also includes any plant derived material that is not covered by the latter description or list but which falls within the commonly accepted and ordinary meaning of ‘fruit’ and ‘vegetable’.</w:t>
      </w:r>
    </w:p>
    <w:p w14:paraId="3819EFA5" w14:textId="77777777" w:rsidR="008F56BD" w:rsidRPr="008F56BD" w:rsidRDefault="008F56BD" w:rsidP="008F56BD">
      <w:pPr>
        <w:pStyle w:val="Default"/>
        <w:rPr>
          <w:rFonts w:ascii="Arial" w:hAnsi="Arial" w:cs="Arial"/>
          <w:sz w:val="22"/>
          <w:szCs w:val="22"/>
        </w:rPr>
      </w:pPr>
    </w:p>
    <w:p w14:paraId="560B5B2A" w14:textId="77777777" w:rsidR="008F56BD" w:rsidRPr="008F56BD" w:rsidRDefault="008F56BD" w:rsidP="008F56BD">
      <w:pPr>
        <w:pStyle w:val="Default"/>
        <w:rPr>
          <w:rFonts w:ascii="Arial" w:hAnsi="Arial" w:cs="Arial"/>
          <w:sz w:val="22"/>
          <w:szCs w:val="22"/>
        </w:rPr>
      </w:pPr>
      <w:r w:rsidRPr="008F56BD">
        <w:rPr>
          <w:rFonts w:ascii="Arial" w:hAnsi="Arial" w:cs="Arial"/>
          <w:sz w:val="22"/>
          <w:szCs w:val="22"/>
        </w:rPr>
        <w:t>New subsection 1.5.3—3(3) provides that the permission granted by new subsection 1.5.3—3(1) does not apply to any of the following: dried pulses; legumes; nuts; seeds.</w:t>
      </w:r>
    </w:p>
    <w:p w14:paraId="4C32702E" w14:textId="77777777" w:rsidR="008F56BD" w:rsidRPr="00432A42" w:rsidRDefault="008F56BD" w:rsidP="00456BD5">
      <w:pPr>
        <w:rPr>
          <w:b/>
        </w:rPr>
      </w:pPr>
    </w:p>
    <w:p w14:paraId="04A3B76F" w14:textId="299438B8" w:rsidR="00A54727" w:rsidRPr="008F56BD" w:rsidRDefault="00A54727" w:rsidP="00A54727">
      <w:pPr>
        <w:pStyle w:val="Default"/>
        <w:rPr>
          <w:rFonts w:ascii="Arial" w:hAnsi="Arial" w:cs="Arial"/>
          <w:sz w:val="22"/>
          <w:szCs w:val="22"/>
        </w:rPr>
      </w:pPr>
      <w:r w:rsidRPr="00FD7246">
        <w:rPr>
          <w:rFonts w:ascii="Arial" w:hAnsi="Arial" w:cs="Arial"/>
          <w:b/>
          <w:sz w:val="22"/>
          <w:szCs w:val="22"/>
        </w:rPr>
        <w:t>Item [2]</w:t>
      </w:r>
      <w:r w:rsidRPr="008F56BD">
        <w:rPr>
          <w:rFonts w:ascii="Arial" w:hAnsi="Arial" w:cs="Arial"/>
          <w:sz w:val="22"/>
          <w:szCs w:val="22"/>
        </w:rPr>
        <w:t xml:space="preserve"> amends </w:t>
      </w:r>
      <w:r>
        <w:rPr>
          <w:rFonts w:ascii="Arial" w:hAnsi="Arial" w:cs="Arial"/>
          <w:sz w:val="22"/>
          <w:szCs w:val="22"/>
        </w:rPr>
        <w:t>Schedule 22</w:t>
      </w:r>
      <w:r w:rsidRPr="008F56BD">
        <w:rPr>
          <w:rFonts w:ascii="Arial" w:hAnsi="Arial" w:cs="Arial"/>
          <w:sz w:val="22"/>
          <w:szCs w:val="22"/>
        </w:rPr>
        <w:t xml:space="preserve"> by omitting </w:t>
      </w:r>
      <w:r>
        <w:rPr>
          <w:rFonts w:ascii="Arial" w:hAnsi="Arial" w:cs="Arial"/>
          <w:sz w:val="22"/>
          <w:szCs w:val="22"/>
        </w:rPr>
        <w:t>Note 1 and inserting a new Note 1.</w:t>
      </w:r>
    </w:p>
    <w:p w14:paraId="17C0C411" w14:textId="77777777" w:rsidR="00A54727" w:rsidRPr="008F56BD" w:rsidRDefault="00A54727" w:rsidP="00A54727">
      <w:pPr>
        <w:pStyle w:val="Default"/>
        <w:rPr>
          <w:rFonts w:ascii="Arial" w:hAnsi="Arial" w:cs="Arial"/>
          <w:sz w:val="22"/>
          <w:szCs w:val="22"/>
        </w:rPr>
      </w:pPr>
    </w:p>
    <w:p w14:paraId="3B4BD704" w14:textId="5D0CD934" w:rsidR="00456BD5" w:rsidRDefault="00A54727" w:rsidP="00456BD5">
      <w:pPr>
        <w:rPr>
          <w:rFonts w:cs="Arial"/>
          <w:szCs w:val="22"/>
        </w:rPr>
      </w:pPr>
      <w:r w:rsidRPr="008F56BD">
        <w:rPr>
          <w:rFonts w:cs="Arial"/>
          <w:szCs w:val="22"/>
        </w:rPr>
        <w:t xml:space="preserve">New </w:t>
      </w:r>
      <w:r>
        <w:rPr>
          <w:rFonts w:cs="Arial"/>
          <w:szCs w:val="22"/>
        </w:rPr>
        <w:t>Note 1 will</w:t>
      </w:r>
      <w:r w:rsidR="006B4307">
        <w:rPr>
          <w:rFonts w:cs="Arial"/>
          <w:szCs w:val="22"/>
        </w:rPr>
        <w:t>, among other things, explain</w:t>
      </w:r>
      <w:r w:rsidR="00A445F4">
        <w:rPr>
          <w:rFonts w:cs="Arial"/>
          <w:szCs w:val="22"/>
        </w:rPr>
        <w:t xml:space="preserve"> </w:t>
      </w:r>
      <w:r>
        <w:rPr>
          <w:rFonts w:cs="Arial"/>
          <w:szCs w:val="22"/>
        </w:rPr>
        <w:t xml:space="preserve">that a purpose of Schedule 22 </w:t>
      </w:r>
      <w:r w:rsidRPr="00A54727">
        <w:rPr>
          <w:rFonts w:cs="Arial"/>
          <w:szCs w:val="22"/>
        </w:rPr>
        <w:t>is to describe foods and classes of foods for the purposes of subsection 1.5.3—3(2)</w:t>
      </w:r>
      <w:r w:rsidR="006B4307">
        <w:rPr>
          <w:rFonts w:cs="Arial"/>
          <w:szCs w:val="22"/>
        </w:rPr>
        <w:t xml:space="preserve"> of the Code</w:t>
      </w:r>
      <w:r w:rsidRPr="00A54727">
        <w:rPr>
          <w:rFonts w:cs="Arial"/>
          <w:szCs w:val="22"/>
        </w:rPr>
        <w:t>.</w:t>
      </w:r>
    </w:p>
    <w:p w14:paraId="50954DE6" w14:textId="77777777" w:rsidR="008F5BFC" w:rsidRDefault="008F5BFC" w:rsidP="00456BD5"/>
    <w:p w14:paraId="730E9A3D" w14:textId="77777777" w:rsidR="008F5BFC" w:rsidRDefault="008F5BFC">
      <w:pPr>
        <w:widowControl/>
      </w:pPr>
      <w:r>
        <w:br w:type="page"/>
      </w:r>
    </w:p>
    <w:p w14:paraId="20F4D684" w14:textId="77777777" w:rsidR="008F5BFC" w:rsidRPr="00EF70D0" w:rsidRDefault="008F5BFC" w:rsidP="008F5BFC">
      <w:pPr>
        <w:pStyle w:val="Heading2"/>
        <w:ind w:left="0" w:firstLine="0"/>
      </w:pPr>
      <w:bookmarkStart w:id="299" w:name="_Toc18672951"/>
      <w:bookmarkStart w:id="300" w:name="_Toc31190425"/>
      <w:bookmarkStart w:id="301" w:name="_Toc65507105"/>
      <w:bookmarkStart w:id="302" w:name="_Toc65684170"/>
      <w:bookmarkStart w:id="303" w:name="_Toc71204397"/>
      <w:r w:rsidRPr="00EF70D0">
        <w:lastRenderedPageBreak/>
        <w:t xml:space="preserve">Attachment </w:t>
      </w:r>
      <w:r>
        <w:t>C</w:t>
      </w:r>
      <w:r w:rsidRPr="00EF70D0">
        <w:t xml:space="preserve"> – Draft variation to the </w:t>
      </w:r>
      <w:r w:rsidRPr="006303AB">
        <w:t>Australia New Zealand Food Standards Code</w:t>
      </w:r>
      <w:bookmarkEnd w:id="299"/>
      <w:r w:rsidRPr="00EF70D0">
        <w:rPr>
          <w:i/>
        </w:rPr>
        <w:t xml:space="preserve"> </w:t>
      </w:r>
      <w:r>
        <w:t>(Call for Submissions)</w:t>
      </w:r>
      <w:bookmarkEnd w:id="300"/>
      <w:bookmarkEnd w:id="301"/>
      <w:bookmarkEnd w:id="302"/>
      <w:bookmarkEnd w:id="303"/>
    </w:p>
    <w:p w14:paraId="68C9E13E" w14:textId="77777777" w:rsidR="008F5BFC" w:rsidRPr="00456BD5" w:rsidRDefault="008F5BFC" w:rsidP="008F5BFC">
      <w:pPr>
        <w:pStyle w:val="Heading2"/>
        <w:ind w:left="0" w:firstLine="0"/>
      </w:pPr>
    </w:p>
    <w:p w14:paraId="23D2F392" w14:textId="77777777" w:rsidR="008F5BFC" w:rsidRPr="00C0014E" w:rsidRDefault="008F5BFC" w:rsidP="008F5BFC">
      <w:pPr>
        <w:rPr>
          <w:noProof/>
          <w:sz w:val="20"/>
          <w:lang w:val="en-AU" w:eastAsia="en-AU"/>
        </w:rPr>
      </w:pPr>
      <w:r w:rsidRPr="00C0014E">
        <w:rPr>
          <w:noProof/>
          <w:sz w:val="20"/>
          <w:lang w:eastAsia="en-GB" w:bidi="ar-SA"/>
        </w:rPr>
        <w:drawing>
          <wp:inline distT="0" distB="0" distL="0" distR="0" wp14:anchorId="3C196FDB" wp14:editId="36E4F46F">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ED6FF07" w14:textId="77777777" w:rsidR="008F5BFC" w:rsidRPr="006153A1" w:rsidRDefault="008F5BFC" w:rsidP="008F5BFC">
      <w:pPr>
        <w:pBdr>
          <w:bottom w:val="single" w:sz="4" w:space="1" w:color="auto"/>
        </w:pBdr>
        <w:rPr>
          <w:b/>
          <w:bCs/>
        </w:rPr>
      </w:pPr>
    </w:p>
    <w:p w14:paraId="4902AB53" w14:textId="77777777" w:rsidR="008F5BFC" w:rsidRDefault="008F5BFC" w:rsidP="008F5BFC">
      <w:pPr>
        <w:pBdr>
          <w:bottom w:val="single" w:sz="4" w:space="1" w:color="auto"/>
        </w:pBdr>
        <w:rPr>
          <w:b/>
          <w:sz w:val="20"/>
        </w:rPr>
      </w:pPr>
      <w:r w:rsidRPr="006153A1">
        <w:rPr>
          <w:b/>
          <w:sz w:val="20"/>
        </w:rPr>
        <w:t>Food Standards (</w:t>
      </w:r>
      <w:r w:rsidRPr="00F618DF">
        <w:rPr>
          <w:b/>
          <w:sz w:val="20"/>
        </w:rPr>
        <w:t>Application A</w:t>
      </w:r>
      <w:r>
        <w:rPr>
          <w:b/>
          <w:sz w:val="20"/>
        </w:rPr>
        <w:t>1193</w:t>
      </w:r>
      <w:r w:rsidRPr="00F618DF">
        <w:rPr>
          <w:b/>
          <w:sz w:val="20"/>
        </w:rPr>
        <w:t xml:space="preserve"> </w:t>
      </w:r>
      <w:r w:rsidRPr="00A32232">
        <w:rPr>
          <w:b/>
          <w:sz w:val="20"/>
        </w:rPr>
        <w:t>–</w:t>
      </w:r>
      <w:r>
        <w:rPr>
          <w:b/>
          <w:sz w:val="20"/>
        </w:rPr>
        <w:t xml:space="preserve"> </w:t>
      </w:r>
      <w:r w:rsidRPr="00DA578D">
        <w:rPr>
          <w:b/>
          <w:sz w:val="20"/>
        </w:rPr>
        <w:t>Irradiation as a phytosanitary measure for all fresh fruit and vegetables</w:t>
      </w:r>
      <w:r>
        <w:rPr>
          <w:b/>
          <w:sz w:val="20"/>
        </w:rPr>
        <w:t>)</w:t>
      </w:r>
      <w:r w:rsidRPr="00C0014E">
        <w:rPr>
          <w:b/>
          <w:sz w:val="20"/>
        </w:rPr>
        <w:t xml:space="preserve"> Variation</w:t>
      </w:r>
    </w:p>
    <w:p w14:paraId="06736BB1" w14:textId="77777777" w:rsidR="008F5BFC" w:rsidRPr="00C0014E" w:rsidRDefault="008F5BFC" w:rsidP="008F5BFC">
      <w:pPr>
        <w:pBdr>
          <w:bottom w:val="single" w:sz="4" w:space="1" w:color="auto"/>
        </w:pBdr>
        <w:rPr>
          <w:b/>
          <w:sz w:val="20"/>
        </w:rPr>
      </w:pPr>
    </w:p>
    <w:p w14:paraId="14F7254B" w14:textId="77777777" w:rsidR="008F5BFC" w:rsidRPr="008F2616" w:rsidRDefault="008F5BFC" w:rsidP="008F5BFC">
      <w:pPr>
        <w:rPr>
          <w:sz w:val="20"/>
        </w:rPr>
      </w:pPr>
    </w:p>
    <w:p w14:paraId="685E665E" w14:textId="77777777" w:rsidR="008F5BFC" w:rsidRPr="008F2616" w:rsidRDefault="008F5BFC" w:rsidP="008F5BFC">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0889FFDD" w14:textId="77777777" w:rsidR="008F5BFC" w:rsidRPr="008F2616" w:rsidRDefault="008F5BFC" w:rsidP="008F5BFC">
      <w:pPr>
        <w:rPr>
          <w:sz w:val="20"/>
        </w:rPr>
      </w:pPr>
    </w:p>
    <w:p w14:paraId="3129815A" w14:textId="77777777" w:rsidR="008F5BFC" w:rsidRPr="008F2616" w:rsidRDefault="008F5BFC" w:rsidP="008F5BFC">
      <w:pPr>
        <w:rPr>
          <w:sz w:val="20"/>
        </w:rPr>
      </w:pPr>
      <w:r w:rsidRPr="008F2616">
        <w:rPr>
          <w:sz w:val="20"/>
        </w:rPr>
        <w:t xml:space="preserve">Dated </w:t>
      </w:r>
      <w:r w:rsidRPr="00ED4B2C">
        <w:rPr>
          <w:color w:val="FF0000"/>
          <w:sz w:val="20"/>
        </w:rPr>
        <w:t>[To be completed by Delegate]</w:t>
      </w:r>
    </w:p>
    <w:p w14:paraId="205418CA" w14:textId="77777777" w:rsidR="008F5BFC" w:rsidRPr="008F2616" w:rsidRDefault="008F5BFC" w:rsidP="008F5BFC">
      <w:pPr>
        <w:rPr>
          <w:sz w:val="20"/>
        </w:rPr>
      </w:pPr>
    </w:p>
    <w:p w14:paraId="5547AE9C" w14:textId="77777777" w:rsidR="008F5BFC" w:rsidRDefault="008F5BFC" w:rsidP="008F5BFC">
      <w:pPr>
        <w:rPr>
          <w:sz w:val="20"/>
        </w:rPr>
      </w:pPr>
    </w:p>
    <w:p w14:paraId="3A027D79" w14:textId="77777777" w:rsidR="008F5BFC" w:rsidRDefault="008F5BFC" w:rsidP="008F5BFC">
      <w:pPr>
        <w:rPr>
          <w:sz w:val="20"/>
        </w:rPr>
      </w:pPr>
    </w:p>
    <w:p w14:paraId="0C946CE4" w14:textId="77777777" w:rsidR="008F5BFC" w:rsidRPr="008F2616" w:rsidRDefault="008F5BFC" w:rsidP="008F5BFC">
      <w:pPr>
        <w:rPr>
          <w:sz w:val="20"/>
        </w:rPr>
      </w:pPr>
    </w:p>
    <w:p w14:paraId="352229D1" w14:textId="77777777" w:rsidR="008F5BFC" w:rsidRPr="008F2616" w:rsidRDefault="008F5BFC" w:rsidP="008F5BFC">
      <w:pPr>
        <w:rPr>
          <w:sz w:val="20"/>
        </w:rPr>
      </w:pPr>
    </w:p>
    <w:p w14:paraId="7AAAF93C" w14:textId="77777777" w:rsidR="008F5BFC" w:rsidRPr="008F2616" w:rsidRDefault="008F5BFC" w:rsidP="008F5BFC">
      <w:pPr>
        <w:rPr>
          <w:sz w:val="20"/>
        </w:rPr>
      </w:pPr>
      <w:r w:rsidRPr="00ED4B2C">
        <w:rPr>
          <w:color w:val="FF0000"/>
          <w:sz w:val="20"/>
        </w:rPr>
        <w:t>[Insert name of and title of Delegate]</w:t>
      </w:r>
    </w:p>
    <w:p w14:paraId="0C28697D" w14:textId="77777777" w:rsidR="008F5BFC" w:rsidRPr="008F2616" w:rsidRDefault="008F5BFC" w:rsidP="008F5BFC">
      <w:pPr>
        <w:rPr>
          <w:sz w:val="20"/>
        </w:rPr>
      </w:pPr>
      <w:r w:rsidRPr="008F2616">
        <w:rPr>
          <w:sz w:val="20"/>
        </w:rPr>
        <w:t>Delegate of the Board of Food Standards Australia New Zealand</w:t>
      </w:r>
    </w:p>
    <w:p w14:paraId="0563891A" w14:textId="77777777" w:rsidR="008F5BFC" w:rsidRDefault="008F5BFC" w:rsidP="008F5BFC">
      <w:pPr>
        <w:rPr>
          <w:sz w:val="20"/>
        </w:rPr>
      </w:pPr>
    </w:p>
    <w:p w14:paraId="568F4FC2" w14:textId="77777777" w:rsidR="008F5BFC" w:rsidRDefault="008F5BFC" w:rsidP="008F5BFC">
      <w:pPr>
        <w:rPr>
          <w:sz w:val="20"/>
        </w:rPr>
      </w:pPr>
    </w:p>
    <w:p w14:paraId="52F3B0D9" w14:textId="77777777" w:rsidR="008F5BFC" w:rsidRDefault="008F5BFC" w:rsidP="008F5BFC">
      <w:pPr>
        <w:rPr>
          <w:sz w:val="20"/>
        </w:rPr>
      </w:pPr>
    </w:p>
    <w:p w14:paraId="69D459D5" w14:textId="77777777" w:rsidR="008F5BFC" w:rsidRDefault="008F5BFC" w:rsidP="008F5BFC">
      <w:pPr>
        <w:rPr>
          <w:sz w:val="20"/>
        </w:rPr>
      </w:pPr>
    </w:p>
    <w:p w14:paraId="12873AE4" w14:textId="77777777" w:rsidR="008F5BFC" w:rsidRDefault="008F5BFC" w:rsidP="008F5BFC">
      <w:pPr>
        <w:rPr>
          <w:sz w:val="20"/>
        </w:rPr>
      </w:pPr>
    </w:p>
    <w:p w14:paraId="68EAEFA1" w14:textId="77777777" w:rsidR="008F5BFC" w:rsidRPr="00360C8F" w:rsidRDefault="008F5BFC" w:rsidP="008F5BFC">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17F7D32D" w14:textId="77777777" w:rsidR="008F5BFC" w:rsidRPr="00360C8F" w:rsidRDefault="008F5BFC" w:rsidP="008F5BFC">
      <w:pPr>
        <w:pBdr>
          <w:top w:val="single" w:sz="4" w:space="1" w:color="auto"/>
          <w:left w:val="single" w:sz="4" w:space="4" w:color="auto"/>
          <w:bottom w:val="single" w:sz="4" w:space="1" w:color="auto"/>
          <w:right w:val="single" w:sz="4" w:space="4" w:color="auto"/>
        </w:pBdr>
        <w:rPr>
          <w:sz w:val="20"/>
          <w:lang w:val="en-AU"/>
        </w:rPr>
      </w:pPr>
    </w:p>
    <w:p w14:paraId="196D171A" w14:textId="77777777" w:rsidR="008F5BFC" w:rsidRPr="00360C8F" w:rsidRDefault="008F5BFC" w:rsidP="008F5BFC">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091C0B4D" w14:textId="77777777" w:rsidR="008F5BFC" w:rsidRDefault="008F5BFC" w:rsidP="008F5BFC">
      <w:pPr>
        <w:rPr>
          <w:sz w:val="20"/>
        </w:rPr>
      </w:pPr>
    </w:p>
    <w:p w14:paraId="13EA4E0F" w14:textId="77777777" w:rsidR="008F5BFC" w:rsidRDefault="008F5BFC" w:rsidP="008F5BFC">
      <w:pPr>
        <w:widowControl/>
        <w:rPr>
          <w:sz w:val="20"/>
        </w:rPr>
      </w:pPr>
      <w:r>
        <w:rPr>
          <w:sz w:val="20"/>
        </w:rPr>
        <w:br w:type="page"/>
      </w:r>
    </w:p>
    <w:p w14:paraId="1EC15B0F" w14:textId="77777777" w:rsidR="008F5BFC" w:rsidRPr="005F585D" w:rsidRDefault="008F5BFC" w:rsidP="008F5BFC">
      <w:pPr>
        <w:pStyle w:val="FSCDraftingitemheading"/>
      </w:pPr>
      <w:r w:rsidRPr="00D433B1">
        <w:lastRenderedPageBreak/>
        <w:t>1</w:t>
      </w:r>
      <w:r w:rsidRPr="00D433B1">
        <w:tab/>
        <w:t>Name</w:t>
      </w:r>
    </w:p>
    <w:p w14:paraId="7ACF1E78" w14:textId="77777777" w:rsidR="008F5BFC" w:rsidRPr="0097412A" w:rsidRDefault="008F5BFC" w:rsidP="008F5BFC">
      <w:pPr>
        <w:pStyle w:val="FSCDraftingitem"/>
      </w:pPr>
      <w:r w:rsidRPr="00DB170D">
        <w:t xml:space="preserve">This instrument is the </w:t>
      </w:r>
      <w:r w:rsidRPr="00792F7C">
        <w:rPr>
          <w:i/>
        </w:rPr>
        <w:t>Food Standards (</w:t>
      </w:r>
      <w:r>
        <w:rPr>
          <w:i/>
        </w:rPr>
        <w:t>Application A1193</w:t>
      </w:r>
      <w:r w:rsidRPr="0097412A">
        <w:rPr>
          <w:i/>
        </w:rPr>
        <w:t xml:space="preserve"> – </w:t>
      </w:r>
      <w:r w:rsidRPr="00DA578D">
        <w:rPr>
          <w:i/>
        </w:rPr>
        <w:t>Irradiation as a phytosanitary measure for all fresh fruit and vegetables</w:t>
      </w:r>
      <w:r>
        <w:rPr>
          <w:i/>
        </w:rPr>
        <w:t xml:space="preserve">) </w:t>
      </w:r>
      <w:r w:rsidRPr="0097412A">
        <w:rPr>
          <w:i/>
        </w:rPr>
        <w:t>Variation</w:t>
      </w:r>
      <w:r w:rsidRPr="0097412A">
        <w:t>.</w:t>
      </w:r>
    </w:p>
    <w:p w14:paraId="76D0E17E" w14:textId="77777777" w:rsidR="008F5BFC" w:rsidRPr="0097412A" w:rsidRDefault="008F5BFC" w:rsidP="008F5BFC">
      <w:pPr>
        <w:pStyle w:val="FSCDraftingitemheading"/>
      </w:pPr>
      <w:r w:rsidRPr="0097412A">
        <w:t>2</w:t>
      </w:r>
      <w:r w:rsidRPr="0097412A">
        <w:tab/>
        <w:t xml:space="preserve">Variation to standard in the </w:t>
      </w:r>
      <w:r w:rsidRPr="0097412A">
        <w:rPr>
          <w:i/>
        </w:rPr>
        <w:t>Australia New Zealand Food Standards Code</w:t>
      </w:r>
    </w:p>
    <w:p w14:paraId="4667A160" w14:textId="77777777" w:rsidR="008F5BFC" w:rsidRPr="0097412A" w:rsidRDefault="008F5BFC" w:rsidP="008F5BFC">
      <w:pPr>
        <w:pStyle w:val="FSCDraftingitem"/>
      </w:pPr>
      <w:r w:rsidRPr="0097412A">
        <w:t xml:space="preserve">The Schedule varies </w:t>
      </w:r>
      <w:r>
        <w:t xml:space="preserve">a </w:t>
      </w:r>
      <w:r w:rsidRPr="0097412A">
        <w:t>S</w:t>
      </w:r>
      <w:r>
        <w:t>tandard</w:t>
      </w:r>
      <w:r w:rsidRPr="0097412A">
        <w:t xml:space="preserve"> in the </w:t>
      </w:r>
      <w:r w:rsidRPr="0097412A">
        <w:rPr>
          <w:i/>
        </w:rPr>
        <w:t>Australia New Zealand Food Standards Code</w:t>
      </w:r>
      <w:r w:rsidRPr="0097412A">
        <w:t>.</w:t>
      </w:r>
    </w:p>
    <w:p w14:paraId="10A6AA6F" w14:textId="77777777" w:rsidR="008F5BFC" w:rsidRPr="0097412A" w:rsidRDefault="008F5BFC" w:rsidP="008F5BFC">
      <w:pPr>
        <w:pStyle w:val="FSCDraftingitemheading"/>
      </w:pPr>
      <w:r w:rsidRPr="0097412A">
        <w:t>3</w:t>
      </w:r>
      <w:r w:rsidRPr="0097412A">
        <w:tab/>
        <w:t>Commencement</w:t>
      </w:r>
    </w:p>
    <w:p w14:paraId="64E50D88" w14:textId="77777777" w:rsidR="008F5BFC" w:rsidRPr="0097412A" w:rsidRDefault="008F5BFC" w:rsidP="008F5BFC">
      <w:pPr>
        <w:pStyle w:val="FSCDraftingitem"/>
      </w:pPr>
      <w:r w:rsidRPr="0097412A">
        <w:t>The variation commences on the date of gazettal.</w:t>
      </w:r>
    </w:p>
    <w:p w14:paraId="424516DD" w14:textId="77777777" w:rsidR="008F5BFC" w:rsidRPr="0097412A" w:rsidRDefault="008F5BFC" w:rsidP="008F5BFC">
      <w:pPr>
        <w:jc w:val="center"/>
        <w:rPr>
          <w:b/>
          <w:sz w:val="20"/>
        </w:rPr>
      </w:pPr>
      <w:r w:rsidRPr="0097412A">
        <w:rPr>
          <w:b/>
          <w:sz w:val="20"/>
        </w:rPr>
        <w:t>Schedule</w:t>
      </w:r>
    </w:p>
    <w:p w14:paraId="6F8AEACF" w14:textId="77777777" w:rsidR="008F5BFC" w:rsidRDefault="008F5BFC" w:rsidP="008F5BFC">
      <w:pPr>
        <w:pStyle w:val="FSCDraftingitemheading"/>
        <w:rPr>
          <w:b w:val="0"/>
          <w:lang w:bidi="en-US"/>
        </w:rPr>
      </w:pPr>
      <w:r w:rsidRPr="0097412A">
        <w:rPr>
          <w:lang w:bidi="en-US"/>
        </w:rPr>
        <w:t>[1]</w:t>
      </w:r>
      <w:r w:rsidRPr="0097412A">
        <w:rPr>
          <w:lang w:bidi="en-US"/>
        </w:rPr>
        <w:tab/>
      </w:r>
      <w:r>
        <w:rPr>
          <w:lang w:bidi="en-US"/>
        </w:rPr>
        <w:t xml:space="preserve">Standard 1.5.3 </w:t>
      </w:r>
      <w:r>
        <w:rPr>
          <w:b w:val="0"/>
          <w:lang w:bidi="en-US"/>
        </w:rPr>
        <w:t>is varied by omitting</w:t>
      </w:r>
      <w:r w:rsidRPr="00A9508B">
        <w:rPr>
          <w:b w:val="0"/>
          <w:lang w:bidi="en-US"/>
        </w:rPr>
        <w:t xml:space="preserve"> </w:t>
      </w:r>
      <w:r>
        <w:rPr>
          <w:b w:val="0"/>
          <w:lang w:bidi="en-US"/>
        </w:rPr>
        <w:t>section</w:t>
      </w:r>
      <w:r w:rsidRPr="00A9508B">
        <w:rPr>
          <w:b w:val="0"/>
          <w:lang w:bidi="en-US"/>
        </w:rPr>
        <w:t xml:space="preserve"> 1.5.3—3 </w:t>
      </w:r>
      <w:r>
        <w:rPr>
          <w:b w:val="0"/>
          <w:lang w:bidi="en-US"/>
        </w:rPr>
        <w:t>and inserting</w:t>
      </w:r>
    </w:p>
    <w:p w14:paraId="3F5EEED3" w14:textId="77777777" w:rsidR="008F5BFC" w:rsidRDefault="008F5BFC" w:rsidP="008F5BFC">
      <w:pPr>
        <w:pStyle w:val="FSCh5Section"/>
        <w:rPr>
          <w:lang w:bidi="en-US"/>
        </w:rPr>
      </w:pPr>
      <w:r>
        <w:rPr>
          <w:lang w:bidi="en-US"/>
        </w:rPr>
        <w:t>1.5.3—3</w:t>
      </w:r>
      <w:r>
        <w:rPr>
          <w:lang w:bidi="en-US"/>
        </w:rPr>
        <w:tab/>
      </w:r>
      <w:r w:rsidRPr="00A9508B">
        <w:rPr>
          <w:lang w:bidi="en-US"/>
        </w:rPr>
        <w:t>Irra</w:t>
      </w:r>
      <w:r>
        <w:rPr>
          <w:lang w:bidi="en-US"/>
        </w:rPr>
        <w:t>diation of fresh fruit and vegetables</w:t>
      </w:r>
    </w:p>
    <w:p w14:paraId="37FCF696" w14:textId="77777777" w:rsidR="008F5BFC" w:rsidRDefault="008F5BFC" w:rsidP="008F5BFC">
      <w:pPr>
        <w:pStyle w:val="FSCtMain"/>
        <w:rPr>
          <w:lang w:bidi="en-US"/>
        </w:rPr>
      </w:pPr>
      <w:r>
        <w:rPr>
          <w:lang w:bidi="en-US"/>
        </w:rPr>
        <w:tab/>
      </w:r>
      <w:r>
        <w:t>(1</w:t>
      </w:r>
      <w:r w:rsidRPr="001D1563">
        <w:t>)</w:t>
      </w:r>
      <w:r w:rsidRPr="001D1563">
        <w:tab/>
      </w:r>
      <w:r>
        <w:rPr>
          <w:lang w:bidi="en-US"/>
        </w:rPr>
        <w:tab/>
        <w:t>Fresh fruit and fresh vegetables may be irradiated for the purpose of pest disinfestation for a phytosanitary objective, if the absorbed dose is:</w:t>
      </w:r>
      <w:r>
        <w:rPr>
          <w:lang w:bidi="en-US"/>
        </w:rPr>
        <w:tab/>
      </w:r>
    </w:p>
    <w:p w14:paraId="7E8C9B79" w14:textId="77777777" w:rsidR="008F5BFC" w:rsidRPr="001D1563" w:rsidRDefault="008F5BFC" w:rsidP="008F5BFC">
      <w:pPr>
        <w:pStyle w:val="FSCtPara"/>
      </w:pPr>
      <w:r w:rsidRPr="001D1563">
        <w:tab/>
        <w:t>(a)</w:t>
      </w:r>
      <w:r w:rsidRPr="001D1563">
        <w:tab/>
      </w:r>
      <w:r>
        <w:t>no lower than 150 Gy</w:t>
      </w:r>
      <w:r>
        <w:rPr>
          <w:rFonts w:eastAsia="Calibri"/>
          <w:lang w:val="en-AU"/>
        </w:rPr>
        <w:t xml:space="preserve">; </w:t>
      </w:r>
      <w:r>
        <w:t>and</w:t>
      </w:r>
    </w:p>
    <w:p w14:paraId="73357FFE" w14:textId="77777777" w:rsidR="008F5BFC" w:rsidRPr="00784741" w:rsidRDefault="008F5BFC" w:rsidP="008F5BFC">
      <w:pPr>
        <w:pStyle w:val="FSCtPara"/>
        <w:rPr>
          <w:rFonts w:eastAsia="Calibri"/>
          <w:szCs w:val="20"/>
          <w:lang w:val="en-AU"/>
        </w:rPr>
      </w:pPr>
      <w:r w:rsidRPr="001D1563">
        <w:tab/>
        <w:t>(b)</w:t>
      </w:r>
      <w:r w:rsidRPr="001D1563">
        <w:tab/>
      </w:r>
      <w:r w:rsidRPr="00AF7380">
        <w:rPr>
          <w:rFonts w:eastAsia="Calibri"/>
          <w:szCs w:val="20"/>
          <w:lang w:val="en-AU"/>
        </w:rPr>
        <w:t>no higher than 1 kGy.</w:t>
      </w:r>
    </w:p>
    <w:p w14:paraId="667C2A08" w14:textId="77777777" w:rsidR="008F5BFC" w:rsidRPr="00A62861" w:rsidRDefault="008F5BFC" w:rsidP="008F5BFC">
      <w:pPr>
        <w:pStyle w:val="FSCtMain"/>
      </w:pPr>
      <w:r>
        <w:tab/>
        <w:t>(2</w:t>
      </w:r>
      <w:r w:rsidRPr="001D1563">
        <w:t>)</w:t>
      </w:r>
      <w:r w:rsidRPr="001D1563">
        <w:tab/>
      </w:r>
      <w:r w:rsidRPr="00A62861">
        <w:t>In this section:</w:t>
      </w:r>
    </w:p>
    <w:p w14:paraId="4465715D" w14:textId="77777777" w:rsidR="008F5BFC" w:rsidRDefault="008F5BFC" w:rsidP="008F5BFC">
      <w:pPr>
        <w:pStyle w:val="FSCtMain"/>
      </w:pPr>
      <w:r>
        <w:rPr>
          <w:b/>
          <w:i/>
        </w:rPr>
        <w:tab/>
      </w:r>
      <w:r>
        <w:rPr>
          <w:b/>
          <w:i/>
        </w:rPr>
        <w:tab/>
        <w:t xml:space="preserve">fruit </w:t>
      </w:r>
      <w:r w:rsidRPr="00A62861">
        <w:t>include</w:t>
      </w:r>
      <w:r>
        <w:t xml:space="preserve">s (but is not limited to) a fruit </w:t>
      </w:r>
      <w:r w:rsidRPr="00A62861">
        <w:t>described in Schedule 2</w:t>
      </w:r>
      <w:r>
        <w:t>2; and</w:t>
      </w:r>
    </w:p>
    <w:p w14:paraId="02BACB50" w14:textId="77777777" w:rsidR="008F5BFC" w:rsidRDefault="008F5BFC" w:rsidP="008F5BFC">
      <w:pPr>
        <w:pStyle w:val="FSCtMain"/>
      </w:pPr>
      <w:r>
        <w:rPr>
          <w:b/>
          <w:i/>
        </w:rPr>
        <w:tab/>
      </w:r>
      <w:r>
        <w:rPr>
          <w:b/>
          <w:i/>
        </w:rPr>
        <w:tab/>
        <w:t>vegetables</w:t>
      </w:r>
      <w:r w:rsidRPr="00A62861">
        <w:rPr>
          <w:b/>
          <w:i/>
        </w:rPr>
        <w:t xml:space="preserve"> </w:t>
      </w:r>
      <w:r w:rsidRPr="00A62861">
        <w:t>include</w:t>
      </w:r>
      <w:r>
        <w:t>s (but is not limited to) a vegetable</w:t>
      </w:r>
      <w:r w:rsidRPr="00A62861">
        <w:t xml:space="preserve"> described in Schedule 2</w:t>
      </w:r>
      <w:r>
        <w:t>2.</w:t>
      </w:r>
    </w:p>
    <w:p w14:paraId="53167D53" w14:textId="77777777" w:rsidR="008F5BFC" w:rsidRDefault="008F5BFC" w:rsidP="008F5BFC">
      <w:pPr>
        <w:pStyle w:val="FSCtMain"/>
      </w:pPr>
      <w:r>
        <w:t>                    (3)      Despite subsection (2), any of the following is not a fruit or a vegetable for the purposes of this section: dried pulses; legumes; nuts; or seeds.</w:t>
      </w:r>
    </w:p>
    <w:p w14:paraId="20D2BB03" w14:textId="77777777" w:rsidR="008F5BFC" w:rsidRDefault="008F5BFC" w:rsidP="008F5BFC">
      <w:pPr>
        <w:pStyle w:val="FSCtMain"/>
      </w:pPr>
    </w:p>
    <w:p w14:paraId="58226F6C" w14:textId="7159722B" w:rsidR="008F5BFC" w:rsidRDefault="008F5BFC" w:rsidP="008F5BFC">
      <w:pPr>
        <w:widowControl/>
        <w:rPr>
          <w:lang w:val="en-AU" w:eastAsia="en-GB" w:bidi="ar-SA"/>
        </w:rPr>
      </w:pPr>
    </w:p>
    <w:p w14:paraId="56F1A39E" w14:textId="594EEC01" w:rsidR="008A6921" w:rsidRDefault="00456BD5" w:rsidP="00AF38B0">
      <w:pPr>
        <w:pStyle w:val="Heading2"/>
      </w:pPr>
      <w:r>
        <w:br w:type="page"/>
      </w:r>
      <w:bookmarkStart w:id="304" w:name="_Toc54771279"/>
      <w:bookmarkStart w:id="305" w:name="_Toc65149724"/>
      <w:bookmarkStart w:id="306" w:name="_Toc65507106"/>
    </w:p>
    <w:p w14:paraId="000C6902" w14:textId="074144FC" w:rsidR="008F56BD" w:rsidRPr="0080668C" w:rsidRDefault="008A6921" w:rsidP="00AF38B0">
      <w:pPr>
        <w:pStyle w:val="Heading2"/>
      </w:pPr>
      <w:bookmarkStart w:id="307" w:name="_Ref65681589"/>
      <w:bookmarkStart w:id="308" w:name="_Toc65684171"/>
      <w:bookmarkStart w:id="309" w:name="_Toc71204398"/>
      <w:r>
        <w:lastRenderedPageBreak/>
        <w:t xml:space="preserve">Appendix </w:t>
      </w:r>
      <w:r w:rsidR="00DC604B">
        <w:fldChar w:fldCharType="begin"/>
      </w:r>
      <w:r w:rsidR="00DC604B">
        <w:instrText xml:space="preserve"> SEQ Appendix \* ARABIC </w:instrText>
      </w:r>
      <w:r w:rsidR="00DC604B">
        <w:fldChar w:fldCharType="separate"/>
      </w:r>
      <w:r w:rsidR="00A67B9C">
        <w:rPr>
          <w:noProof/>
        </w:rPr>
        <w:t>1</w:t>
      </w:r>
      <w:r w:rsidR="00DC604B">
        <w:rPr>
          <w:noProof/>
        </w:rPr>
        <w:fldChar w:fldCharType="end"/>
      </w:r>
      <w:bookmarkEnd w:id="307"/>
      <w:r w:rsidR="008F56BD" w:rsidRPr="0080668C">
        <w:t>: Summary of specific countries’ permissions for irradiated foods</w:t>
      </w:r>
      <w:bookmarkEnd w:id="304"/>
      <w:bookmarkEnd w:id="305"/>
      <w:bookmarkEnd w:id="306"/>
      <w:bookmarkEnd w:id="308"/>
      <w:bookmarkEnd w:id="309"/>
      <w:r w:rsidR="008F56BD" w:rsidRPr="0080668C">
        <w:t xml:space="preserve"> </w:t>
      </w:r>
    </w:p>
    <w:tbl>
      <w:tblPr>
        <w:tblStyle w:val="TableGrid1"/>
        <w:tblW w:w="0" w:type="auto"/>
        <w:tblInd w:w="0" w:type="dxa"/>
        <w:tblLook w:val="04A0" w:firstRow="1" w:lastRow="0" w:firstColumn="1" w:lastColumn="0" w:noHBand="0" w:noVBand="1"/>
        <w:tblCaption w:val="Table 1: Summary of specific countries’ permissions for irradiated foods"/>
        <w:tblDescription w:val="Summary of specific countries’ permissions for irradiated foods."/>
      </w:tblPr>
      <w:tblGrid>
        <w:gridCol w:w="1731"/>
        <w:gridCol w:w="5352"/>
        <w:gridCol w:w="1977"/>
      </w:tblGrid>
      <w:tr w:rsidR="008F56BD" w14:paraId="39239D1F" w14:textId="77777777" w:rsidTr="008F56BD">
        <w:trPr>
          <w:tblHeader/>
        </w:trPr>
        <w:tc>
          <w:tcPr>
            <w:tcW w:w="1731" w:type="dxa"/>
            <w:tcBorders>
              <w:top w:val="single" w:sz="4" w:space="0" w:color="auto"/>
              <w:left w:val="single" w:sz="4" w:space="0" w:color="auto"/>
              <w:bottom w:val="single" w:sz="4" w:space="0" w:color="auto"/>
              <w:right w:val="single" w:sz="4" w:space="0" w:color="auto"/>
            </w:tcBorders>
            <w:hideMark/>
          </w:tcPr>
          <w:p w14:paraId="77251EFB" w14:textId="77777777" w:rsidR="008F56BD" w:rsidRDefault="008F56BD">
            <w:pPr>
              <w:keepNext/>
              <w:keepLines/>
              <w:spacing w:line="276" w:lineRule="auto"/>
              <w:jc w:val="center"/>
              <w:rPr>
                <w:rFonts w:eastAsia="Arial Unicode MS"/>
                <w:b/>
                <w:sz w:val="20"/>
                <w:szCs w:val="20"/>
              </w:rPr>
            </w:pPr>
            <w:r>
              <w:rPr>
                <w:rFonts w:eastAsia="Arial Unicode MS"/>
                <w:b/>
                <w:sz w:val="20"/>
                <w:szCs w:val="20"/>
              </w:rPr>
              <w:t>Country</w:t>
            </w:r>
          </w:p>
        </w:tc>
        <w:tc>
          <w:tcPr>
            <w:tcW w:w="5352" w:type="dxa"/>
            <w:tcBorders>
              <w:top w:val="single" w:sz="4" w:space="0" w:color="auto"/>
              <w:left w:val="single" w:sz="4" w:space="0" w:color="auto"/>
              <w:bottom w:val="single" w:sz="4" w:space="0" w:color="auto"/>
              <w:right w:val="single" w:sz="4" w:space="0" w:color="auto"/>
            </w:tcBorders>
            <w:hideMark/>
          </w:tcPr>
          <w:p w14:paraId="6622784C" w14:textId="77777777" w:rsidR="008F56BD" w:rsidRDefault="008F56BD">
            <w:pPr>
              <w:keepNext/>
              <w:keepLines/>
              <w:spacing w:line="276" w:lineRule="auto"/>
              <w:jc w:val="center"/>
              <w:rPr>
                <w:rFonts w:eastAsia="Arial Unicode MS"/>
                <w:b/>
                <w:sz w:val="20"/>
                <w:szCs w:val="20"/>
              </w:rPr>
            </w:pPr>
            <w:r>
              <w:rPr>
                <w:rFonts w:eastAsia="Arial Unicode MS"/>
                <w:b/>
                <w:sz w:val="20"/>
                <w:szCs w:val="20"/>
              </w:rPr>
              <w:t>Food</w:t>
            </w:r>
          </w:p>
        </w:tc>
        <w:tc>
          <w:tcPr>
            <w:tcW w:w="1977" w:type="dxa"/>
            <w:tcBorders>
              <w:top w:val="single" w:sz="4" w:space="0" w:color="auto"/>
              <w:left w:val="single" w:sz="4" w:space="0" w:color="auto"/>
              <w:bottom w:val="single" w:sz="4" w:space="0" w:color="auto"/>
              <w:right w:val="single" w:sz="4" w:space="0" w:color="auto"/>
            </w:tcBorders>
            <w:hideMark/>
          </w:tcPr>
          <w:p w14:paraId="536DDF7D" w14:textId="77777777" w:rsidR="008F56BD" w:rsidRDefault="008F56BD">
            <w:pPr>
              <w:keepNext/>
              <w:keepLines/>
              <w:spacing w:line="276" w:lineRule="auto"/>
              <w:jc w:val="center"/>
              <w:rPr>
                <w:rFonts w:eastAsia="Arial Unicode MS"/>
                <w:b/>
                <w:sz w:val="20"/>
                <w:szCs w:val="20"/>
              </w:rPr>
            </w:pPr>
            <w:r>
              <w:rPr>
                <w:rFonts w:eastAsia="Arial Unicode MS"/>
                <w:b/>
                <w:sz w:val="20"/>
                <w:szCs w:val="20"/>
              </w:rPr>
              <w:t>Dose/Dose range (kGy)</w:t>
            </w:r>
          </w:p>
        </w:tc>
      </w:tr>
      <w:tr w:rsidR="008F56BD" w14:paraId="6F7C09EE" w14:textId="77777777" w:rsidTr="008F56BD">
        <w:trPr>
          <w:trHeight w:val="266"/>
        </w:trPr>
        <w:tc>
          <w:tcPr>
            <w:tcW w:w="1731" w:type="dxa"/>
            <w:tcBorders>
              <w:top w:val="single" w:sz="4" w:space="0" w:color="auto"/>
              <w:left w:val="single" w:sz="4" w:space="0" w:color="auto"/>
              <w:bottom w:val="nil"/>
              <w:right w:val="single" w:sz="4" w:space="0" w:color="auto"/>
            </w:tcBorders>
            <w:hideMark/>
          </w:tcPr>
          <w:p w14:paraId="264F7884" w14:textId="77777777" w:rsidR="008F56BD" w:rsidRDefault="008F56BD">
            <w:pPr>
              <w:keepNext/>
              <w:keepLines/>
              <w:spacing w:line="276" w:lineRule="auto"/>
              <w:rPr>
                <w:rFonts w:eastAsia="Arial Unicode MS"/>
                <w:sz w:val="18"/>
                <w:szCs w:val="18"/>
              </w:rPr>
            </w:pPr>
            <w:r>
              <w:rPr>
                <w:rFonts w:eastAsia="Arial Unicode MS"/>
                <w:sz w:val="18"/>
                <w:szCs w:val="18"/>
              </w:rPr>
              <w:t>European Union</w:t>
            </w:r>
          </w:p>
        </w:tc>
        <w:tc>
          <w:tcPr>
            <w:tcW w:w="5352" w:type="dxa"/>
            <w:tcBorders>
              <w:top w:val="single" w:sz="4" w:space="0" w:color="auto"/>
              <w:left w:val="single" w:sz="4" w:space="0" w:color="auto"/>
              <w:bottom w:val="nil"/>
              <w:right w:val="single" w:sz="4" w:space="0" w:color="auto"/>
            </w:tcBorders>
            <w:hideMark/>
          </w:tcPr>
          <w:p w14:paraId="51CF3A04" w14:textId="77777777" w:rsidR="008F56BD" w:rsidRDefault="008F56BD">
            <w:pPr>
              <w:keepNext/>
              <w:keepLines/>
              <w:spacing w:line="276" w:lineRule="auto"/>
              <w:rPr>
                <w:rFonts w:eastAsia="Arial Unicode MS"/>
                <w:sz w:val="18"/>
                <w:szCs w:val="18"/>
              </w:rPr>
            </w:pPr>
            <w:r>
              <w:rPr>
                <w:rFonts w:eastAsia="Arial Unicode MS"/>
                <w:sz w:val="18"/>
                <w:szCs w:val="18"/>
              </w:rPr>
              <w:t xml:space="preserve">Dried aromatic herbs, spices and vegetable seasonings </w:t>
            </w:r>
          </w:p>
        </w:tc>
        <w:tc>
          <w:tcPr>
            <w:tcW w:w="1977" w:type="dxa"/>
            <w:tcBorders>
              <w:top w:val="single" w:sz="4" w:space="0" w:color="auto"/>
              <w:left w:val="single" w:sz="4" w:space="0" w:color="auto"/>
              <w:bottom w:val="nil"/>
              <w:right w:val="single" w:sz="4" w:space="0" w:color="auto"/>
            </w:tcBorders>
            <w:hideMark/>
          </w:tcPr>
          <w:p w14:paraId="15F19208" w14:textId="77777777" w:rsidR="008F56BD" w:rsidRDefault="008F56BD">
            <w:pPr>
              <w:keepNext/>
              <w:keepLines/>
              <w:spacing w:line="276" w:lineRule="auto"/>
              <w:rPr>
                <w:rFonts w:eastAsia="Arial Unicode MS"/>
                <w:sz w:val="18"/>
                <w:szCs w:val="18"/>
              </w:rPr>
            </w:pPr>
            <w:r>
              <w:rPr>
                <w:rFonts w:eastAsia="Arial Unicode MS"/>
                <w:sz w:val="18"/>
                <w:szCs w:val="18"/>
              </w:rPr>
              <w:t xml:space="preserve">10 </w:t>
            </w:r>
          </w:p>
        </w:tc>
      </w:tr>
      <w:tr w:rsidR="008F56BD" w14:paraId="3200476D" w14:textId="77777777" w:rsidTr="008F56BD">
        <w:trPr>
          <w:trHeight w:val="266"/>
        </w:trPr>
        <w:tc>
          <w:tcPr>
            <w:tcW w:w="1731" w:type="dxa"/>
            <w:tcBorders>
              <w:top w:val="nil"/>
              <w:left w:val="single" w:sz="4" w:space="0" w:color="auto"/>
              <w:bottom w:val="single" w:sz="4" w:space="0" w:color="auto"/>
              <w:right w:val="single" w:sz="4" w:space="0" w:color="auto"/>
            </w:tcBorders>
          </w:tcPr>
          <w:p w14:paraId="0495E52D" w14:textId="77777777" w:rsidR="008F56BD" w:rsidRDefault="008F56BD">
            <w:pPr>
              <w:keepNext/>
              <w:keepLines/>
              <w:spacing w:line="276" w:lineRule="auto"/>
              <w:rPr>
                <w:rFonts w:eastAsia="Arial Unicode MS"/>
                <w:sz w:val="18"/>
                <w:szCs w:val="18"/>
              </w:rPr>
            </w:pPr>
          </w:p>
        </w:tc>
        <w:tc>
          <w:tcPr>
            <w:tcW w:w="5352" w:type="dxa"/>
            <w:tcBorders>
              <w:top w:val="nil"/>
              <w:left w:val="single" w:sz="4" w:space="0" w:color="auto"/>
              <w:bottom w:val="single" w:sz="4" w:space="0" w:color="auto"/>
              <w:right w:val="single" w:sz="4" w:space="0" w:color="auto"/>
            </w:tcBorders>
            <w:hideMark/>
          </w:tcPr>
          <w:p w14:paraId="0585B09D" w14:textId="77777777" w:rsidR="008F56BD" w:rsidRDefault="008F56BD">
            <w:pPr>
              <w:keepNext/>
              <w:keepLines/>
              <w:spacing w:line="276" w:lineRule="auto"/>
              <w:rPr>
                <w:rFonts w:eastAsia="Arial Unicode MS"/>
                <w:sz w:val="18"/>
                <w:szCs w:val="18"/>
              </w:rPr>
            </w:pPr>
            <w:r>
              <w:rPr>
                <w:rFonts w:eastAsia="Arial Unicode MS"/>
                <w:sz w:val="18"/>
                <w:szCs w:val="18"/>
              </w:rPr>
              <w:t>(contamination and/or infestation)</w:t>
            </w:r>
          </w:p>
        </w:tc>
        <w:tc>
          <w:tcPr>
            <w:tcW w:w="1977" w:type="dxa"/>
            <w:tcBorders>
              <w:top w:val="nil"/>
              <w:left w:val="single" w:sz="4" w:space="0" w:color="auto"/>
              <w:bottom w:val="single" w:sz="4" w:space="0" w:color="auto"/>
              <w:right w:val="single" w:sz="4" w:space="0" w:color="auto"/>
            </w:tcBorders>
          </w:tcPr>
          <w:p w14:paraId="74D53286" w14:textId="77777777" w:rsidR="008F56BD" w:rsidRDefault="008F56BD">
            <w:pPr>
              <w:keepNext/>
              <w:keepLines/>
              <w:spacing w:line="276" w:lineRule="auto"/>
              <w:rPr>
                <w:rFonts w:eastAsia="Arial Unicode MS"/>
                <w:sz w:val="18"/>
                <w:szCs w:val="18"/>
              </w:rPr>
            </w:pPr>
          </w:p>
        </w:tc>
      </w:tr>
      <w:tr w:rsidR="008F56BD" w14:paraId="0000CB7A" w14:textId="77777777" w:rsidTr="008F56BD">
        <w:trPr>
          <w:trHeight w:val="261"/>
        </w:trPr>
        <w:tc>
          <w:tcPr>
            <w:tcW w:w="1731" w:type="dxa"/>
            <w:tcBorders>
              <w:top w:val="single" w:sz="4" w:space="0" w:color="auto"/>
              <w:left w:val="single" w:sz="4" w:space="0" w:color="auto"/>
              <w:bottom w:val="nil"/>
              <w:right w:val="single" w:sz="4" w:space="0" w:color="auto"/>
            </w:tcBorders>
            <w:hideMark/>
          </w:tcPr>
          <w:p w14:paraId="4FC0E71B" w14:textId="77777777" w:rsidR="008F56BD" w:rsidRDefault="008F56BD">
            <w:pPr>
              <w:keepNext/>
              <w:keepLines/>
              <w:spacing w:line="276" w:lineRule="auto"/>
              <w:rPr>
                <w:sz w:val="18"/>
                <w:szCs w:val="18"/>
              </w:rPr>
            </w:pPr>
            <w:r>
              <w:rPr>
                <w:rFonts w:eastAsia="Arial Unicode MS"/>
                <w:sz w:val="18"/>
                <w:szCs w:val="18"/>
              </w:rPr>
              <w:t>Canada</w:t>
            </w:r>
          </w:p>
        </w:tc>
        <w:tc>
          <w:tcPr>
            <w:tcW w:w="5352" w:type="dxa"/>
            <w:tcBorders>
              <w:top w:val="single" w:sz="4" w:space="0" w:color="auto"/>
              <w:left w:val="single" w:sz="4" w:space="0" w:color="auto"/>
              <w:bottom w:val="dotted" w:sz="4" w:space="0" w:color="auto"/>
              <w:right w:val="single" w:sz="4" w:space="0" w:color="auto"/>
            </w:tcBorders>
            <w:hideMark/>
          </w:tcPr>
          <w:p w14:paraId="366ECDBA" w14:textId="77777777" w:rsidR="008F56BD" w:rsidRDefault="008F56BD">
            <w:pPr>
              <w:keepNext/>
              <w:keepLines/>
              <w:spacing w:line="276" w:lineRule="auto"/>
              <w:ind w:left="113" w:hanging="113"/>
              <w:rPr>
                <w:sz w:val="18"/>
                <w:szCs w:val="18"/>
              </w:rPr>
            </w:pPr>
            <w:r>
              <w:rPr>
                <w:sz w:val="18"/>
                <w:szCs w:val="18"/>
              </w:rPr>
              <w:t>Onions (inhibit sprouting during storage)</w:t>
            </w:r>
          </w:p>
        </w:tc>
        <w:tc>
          <w:tcPr>
            <w:tcW w:w="1977" w:type="dxa"/>
            <w:tcBorders>
              <w:top w:val="single" w:sz="4" w:space="0" w:color="auto"/>
              <w:left w:val="single" w:sz="4" w:space="0" w:color="auto"/>
              <w:bottom w:val="dotted" w:sz="4" w:space="0" w:color="auto"/>
              <w:right w:val="single" w:sz="4" w:space="0" w:color="auto"/>
            </w:tcBorders>
            <w:hideMark/>
          </w:tcPr>
          <w:p w14:paraId="53D72705" w14:textId="77777777" w:rsidR="008F56BD" w:rsidRDefault="008F56BD">
            <w:pPr>
              <w:keepNext/>
              <w:keepLines/>
              <w:spacing w:line="276" w:lineRule="auto"/>
              <w:rPr>
                <w:rFonts w:eastAsia="Arial Unicode MS"/>
                <w:sz w:val="18"/>
                <w:szCs w:val="18"/>
              </w:rPr>
            </w:pPr>
            <w:r>
              <w:rPr>
                <w:rFonts w:eastAsia="Arial Unicode MS"/>
                <w:sz w:val="18"/>
                <w:szCs w:val="18"/>
              </w:rPr>
              <w:t>0.15</w:t>
            </w:r>
          </w:p>
        </w:tc>
      </w:tr>
      <w:tr w:rsidR="008F56BD" w14:paraId="7651EAA2" w14:textId="77777777" w:rsidTr="008F56BD">
        <w:trPr>
          <w:trHeight w:val="264"/>
        </w:trPr>
        <w:tc>
          <w:tcPr>
            <w:tcW w:w="1731" w:type="dxa"/>
            <w:tcBorders>
              <w:top w:val="nil"/>
              <w:left w:val="single" w:sz="4" w:space="0" w:color="auto"/>
              <w:bottom w:val="nil"/>
              <w:right w:val="single" w:sz="4" w:space="0" w:color="auto"/>
            </w:tcBorders>
          </w:tcPr>
          <w:p w14:paraId="398AC6EF" w14:textId="77777777" w:rsidR="008F56BD" w:rsidRDefault="008F56BD">
            <w:pPr>
              <w:keepNext/>
              <w:keepLines/>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1BFEA0D6" w14:textId="77777777" w:rsidR="008F56BD" w:rsidRDefault="008F56BD">
            <w:pPr>
              <w:keepNext/>
              <w:keepLines/>
              <w:spacing w:line="276" w:lineRule="auto"/>
              <w:ind w:left="113" w:hanging="113"/>
              <w:rPr>
                <w:sz w:val="18"/>
                <w:szCs w:val="18"/>
              </w:rPr>
            </w:pPr>
            <w:r>
              <w:rPr>
                <w:sz w:val="18"/>
                <w:szCs w:val="18"/>
              </w:rPr>
              <w:t>Potatoes (inhibit sprouting during storage)</w:t>
            </w:r>
          </w:p>
        </w:tc>
        <w:tc>
          <w:tcPr>
            <w:tcW w:w="1977" w:type="dxa"/>
            <w:tcBorders>
              <w:top w:val="dotted" w:sz="4" w:space="0" w:color="auto"/>
              <w:left w:val="single" w:sz="4" w:space="0" w:color="auto"/>
              <w:bottom w:val="dotted" w:sz="4" w:space="0" w:color="auto"/>
              <w:right w:val="single" w:sz="4" w:space="0" w:color="auto"/>
            </w:tcBorders>
            <w:hideMark/>
          </w:tcPr>
          <w:p w14:paraId="126CE31F" w14:textId="77777777" w:rsidR="008F56BD" w:rsidRDefault="008F56BD">
            <w:pPr>
              <w:keepNext/>
              <w:keepLines/>
              <w:spacing w:line="276" w:lineRule="auto"/>
              <w:rPr>
                <w:rFonts w:eastAsia="Arial Unicode MS"/>
                <w:sz w:val="18"/>
                <w:szCs w:val="18"/>
              </w:rPr>
            </w:pPr>
            <w:r>
              <w:rPr>
                <w:rFonts w:eastAsia="Arial Unicode MS"/>
                <w:sz w:val="18"/>
                <w:szCs w:val="18"/>
              </w:rPr>
              <w:t>0.15</w:t>
            </w:r>
          </w:p>
        </w:tc>
      </w:tr>
      <w:tr w:rsidR="008F56BD" w14:paraId="6BA8625B" w14:textId="77777777" w:rsidTr="008F56BD">
        <w:trPr>
          <w:trHeight w:val="264"/>
        </w:trPr>
        <w:tc>
          <w:tcPr>
            <w:tcW w:w="1731" w:type="dxa"/>
            <w:tcBorders>
              <w:top w:val="nil"/>
              <w:left w:val="single" w:sz="4" w:space="0" w:color="auto"/>
              <w:bottom w:val="nil"/>
              <w:right w:val="single" w:sz="4" w:space="0" w:color="auto"/>
            </w:tcBorders>
          </w:tcPr>
          <w:p w14:paraId="3FA348E8" w14:textId="77777777" w:rsidR="008F56BD" w:rsidRDefault="008F56BD">
            <w:pPr>
              <w:keepNext/>
              <w:keepLines/>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7630B017" w14:textId="77777777" w:rsidR="008F56BD" w:rsidRDefault="008F56BD">
            <w:pPr>
              <w:keepNext/>
              <w:keepLines/>
              <w:spacing w:line="276" w:lineRule="auto"/>
              <w:ind w:left="113" w:hanging="113"/>
              <w:rPr>
                <w:sz w:val="18"/>
                <w:szCs w:val="18"/>
              </w:rPr>
            </w:pPr>
            <w:r>
              <w:rPr>
                <w:sz w:val="18"/>
                <w:szCs w:val="18"/>
              </w:rPr>
              <w:t>Wheat, flour, whole wheat flour (control insects)</w:t>
            </w:r>
          </w:p>
        </w:tc>
        <w:tc>
          <w:tcPr>
            <w:tcW w:w="1977" w:type="dxa"/>
            <w:tcBorders>
              <w:top w:val="dotted" w:sz="4" w:space="0" w:color="auto"/>
              <w:left w:val="single" w:sz="4" w:space="0" w:color="auto"/>
              <w:bottom w:val="dotted" w:sz="4" w:space="0" w:color="auto"/>
              <w:right w:val="single" w:sz="4" w:space="0" w:color="auto"/>
            </w:tcBorders>
            <w:hideMark/>
          </w:tcPr>
          <w:p w14:paraId="44E04AF5" w14:textId="77777777" w:rsidR="008F56BD" w:rsidRDefault="008F56BD">
            <w:pPr>
              <w:keepNext/>
              <w:keepLines/>
              <w:spacing w:line="276" w:lineRule="auto"/>
              <w:rPr>
                <w:rFonts w:eastAsia="Arial Unicode MS"/>
                <w:sz w:val="18"/>
                <w:szCs w:val="18"/>
              </w:rPr>
            </w:pPr>
            <w:r>
              <w:rPr>
                <w:rFonts w:eastAsia="Arial Unicode MS"/>
                <w:sz w:val="18"/>
                <w:szCs w:val="18"/>
              </w:rPr>
              <w:t>0.75</w:t>
            </w:r>
          </w:p>
        </w:tc>
      </w:tr>
      <w:tr w:rsidR="008F56BD" w14:paraId="7C62B7A4" w14:textId="77777777" w:rsidTr="008F56BD">
        <w:trPr>
          <w:trHeight w:val="264"/>
        </w:trPr>
        <w:tc>
          <w:tcPr>
            <w:tcW w:w="1731" w:type="dxa"/>
            <w:tcBorders>
              <w:top w:val="nil"/>
              <w:left w:val="single" w:sz="4" w:space="0" w:color="auto"/>
              <w:bottom w:val="nil"/>
              <w:right w:val="single" w:sz="4" w:space="0" w:color="auto"/>
            </w:tcBorders>
          </w:tcPr>
          <w:p w14:paraId="35D23698" w14:textId="77777777" w:rsidR="008F56BD" w:rsidRDefault="008F56BD">
            <w:pPr>
              <w:keepNext/>
              <w:keepLines/>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5C8530AC" w14:textId="77777777" w:rsidR="008F56BD" w:rsidRDefault="008F56BD">
            <w:pPr>
              <w:keepNext/>
              <w:keepLines/>
              <w:spacing w:line="276" w:lineRule="auto"/>
              <w:ind w:left="113" w:hanging="113"/>
              <w:rPr>
                <w:sz w:val="18"/>
                <w:szCs w:val="18"/>
              </w:rPr>
            </w:pPr>
            <w:r>
              <w:rPr>
                <w:sz w:val="18"/>
                <w:szCs w:val="18"/>
              </w:rPr>
              <w:t>Whole or ground spices and dehydrated seasonings (reduce</w:t>
            </w:r>
          </w:p>
        </w:tc>
        <w:tc>
          <w:tcPr>
            <w:tcW w:w="1977" w:type="dxa"/>
            <w:tcBorders>
              <w:top w:val="dotted" w:sz="4" w:space="0" w:color="auto"/>
              <w:left w:val="single" w:sz="4" w:space="0" w:color="auto"/>
              <w:bottom w:val="nil"/>
              <w:right w:val="single" w:sz="4" w:space="0" w:color="auto"/>
            </w:tcBorders>
            <w:hideMark/>
          </w:tcPr>
          <w:p w14:paraId="7CA90CF3" w14:textId="77777777" w:rsidR="008F56BD" w:rsidRDefault="008F56BD">
            <w:pPr>
              <w:keepNext/>
              <w:keepLines/>
              <w:spacing w:line="276" w:lineRule="auto"/>
              <w:rPr>
                <w:rFonts w:eastAsia="Arial Unicode MS"/>
                <w:sz w:val="18"/>
                <w:szCs w:val="18"/>
              </w:rPr>
            </w:pPr>
            <w:r>
              <w:rPr>
                <w:rFonts w:eastAsia="Arial Unicode MS"/>
                <w:sz w:val="18"/>
                <w:szCs w:val="18"/>
              </w:rPr>
              <w:t>10</w:t>
            </w:r>
          </w:p>
        </w:tc>
      </w:tr>
      <w:tr w:rsidR="008F56BD" w14:paraId="50E2DD05" w14:textId="77777777" w:rsidTr="008F56BD">
        <w:trPr>
          <w:trHeight w:val="264"/>
        </w:trPr>
        <w:tc>
          <w:tcPr>
            <w:tcW w:w="1731" w:type="dxa"/>
            <w:tcBorders>
              <w:top w:val="nil"/>
              <w:left w:val="single" w:sz="4" w:space="0" w:color="auto"/>
              <w:bottom w:val="nil"/>
              <w:right w:val="single" w:sz="4" w:space="0" w:color="auto"/>
            </w:tcBorders>
          </w:tcPr>
          <w:p w14:paraId="722C0809" w14:textId="77777777" w:rsidR="008F56BD" w:rsidRDefault="008F56BD">
            <w:pPr>
              <w:keepNext/>
              <w:keepLines/>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1E3D2C0B" w14:textId="77777777" w:rsidR="008F56BD" w:rsidRDefault="008F56BD">
            <w:pPr>
              <w:keepNext/>
              <w:keepLines/>
              <w:spacing w:line="276" w:lineRule="auto"/>
              <w:ind w:left="113" w:hanging="113"/>
              <w:rPr>
                <w:sz w:val="18"/>
                <w:szCs w:val="18"/>
              </w:rPr>
            </w:pPr>
            <w:r>
              <w:rPr>
                <w:sz w:val="18"/>
                <w:szCs w:val="18"/>
              </w:rPr>
              <w:t>microbial load)</w:t>
            </w:r>
          </w:p>
        </w:tc>
        <w:tc>
          <w:tcPr>
            <w:tcW w:w="1977" w:type="dxa"/>
            <w:tcBorders>
              <w:top w:val="nil"/>
              <w:left w:val="single" w:sz="4" w:space="0" w:color="auto"/>
              <w:bottom w:val="dotted" w:sz="4" w:space="0" w:color="auto"/>
              <w:right w:val="single" w:sz="4" w:space="0" w:color="auto"/>
            </w:tcBorders>
          </w:tcPr>
          <w:p w14:paraId="2BCF75B1" w14:textId="77777777" w:rsidR="008F56BD" w:rsidRDefault="008F56BD">
            <w:pPr>
              <w:keepNext/>
              <w:keepLines/>
              <w:spacing w:line="276" w:lineRule="auto"/>
              <w:rPr>
                <w:rFonts w:eastAsia="Arial Unicode MS"/>
                <w:sz w:val="18"/>
                <w:szCs w:val="18"/>
              </w:rPr>
            </w:pPr>
          </w:p>
        </w:tc>
      </w:tr>
      <w:tr w:rsidR="008F56BD" w14:paraId="1C1553CC" w14:textId="77777777" w:rsidTr="008F56BD">
        <w:trPr>
          <w:trHeight w:val="264"/>
        </w:trPr>
        <w:tc>
          <w:tcPr>
            <w:tcW w:w="1731" w:type="dxa"/>
            <w:tcBorders>
              <w:top w:val="nil"/>
              <w:left w:val="single" w:sz="4" w:space="0" w:color="auto"/>
              <w:bottom w:val="nil"/>
              <w:right w:val="single" w:sz="4" w:space="0" w:color="auto"/>
            </w:tcBorders>
          </w:tcPr>
          <w:p w14:paraId="2A45DADD" w14:textId="77777777" w:rsidR="008F56BD" w:rsidRDefault="008F56BD">
            <w:pPr>
              <w:keepNext/>
              <w:keepLines/>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54EA2627" w14:textId="77777777" w:rsidR="008F56BD" w:rsidRDefault="008F56BD">
            <w:pPr>
              <w:keepNext/>
              <w:keepLines/>
              <w:spacing w:line="276" w:lineRule="auto"/>
              <w:ind w:left="113" w:hanging="113"/>
              <w:rPr>
                <w:sz w:val="18"/>
                <w:szCs w:val="18"/>
              </w:rPr>
            </w:pPr>
            <w:r>
              <w:rPr>
                <w:sz w:val="18"/>
                <w:szCs w:val="18"/>
              </w:rPr>
              <w:t>Fresh raw ground beef (reduce microbial load)</w:t>
            </w:r>
          </w:p>
        </w:tc>
        <w:tc>
          <w:tcPr>
            <w:tcW w:w="1977" w:type="dxa"/>
            <w:tcBorders>
              <w:top w:val="dotted" w:sz="4" w:space="0" w:color="auto"/>
              <w:left w:val="single" w:sz="4" w:space="0" w:color="auto"/>
              <w:bottom w:val="dotted" w:sz="4" w:space="0" w:color="auto"/>
              <w:right w:val="single" w:sz="4" w:space="0" w:color="auto"/>
            </w:tcBorders>
            <w:hideMark/>
          </w:tcPr>
          <w:p w14:paraId="35C68627" w14:textId="77777777" w:rsidR="008F56BD" w:rsidRDefault="008F56BD">
            <w:pPr>
              <w:keepNext/>
              <w:keepLines/>
              <w:spacing w:line="276" w:lineRule="auto"/>
              <w:rPr>
                <w:rFonts w:eastAsia="Arial Unicode MS"/>
                <w:sz w:val="18"/>
                <w:szCs w:val="18"/>
              </w:rPr>
            </w:pPr>
            <w:r>
              <w:rPr>
                <w:rFonts w:eastAsia="Arial Unicode MS"/>
                <w:sz w:val="18"/>
                <w:szCs w:val="18"/>
              </w:rPr>
              <w:t>1.5 to 4.5</w:t>
            </w:r>
          </w:p>
        </w:tc>
      </w:tr>
      <w:tr w:rsidR="008F56BD" w14:paraId="20451CEE" w14:textId="77777777" w:rsidTr="008F56BD">
        <w:trPr>
          <w:trHeight w:val="264"/>
        </w:trPr>
        <w:tc>
          <w:tcPr>
            <w:tcW w:w="1731" w:type="dxa"/>
            <w:tcBorders>
              <w:top w:val="nil"/>
              <w:left w:val="single" w:sz="4" w:space="0" w:color="auto"/>
              <w:bottom w:val="single" w:sz="4" w:space="0" w:color="auto"/>
              <w:right w:val="single" w:sz="4" w:space="0" w:color="auto"/>
            </w:tcBorders>
          </w:tcPr>
          <w:p w14:paraId="793C737A" w14:textId="77777777" w:rsidR="008F56BD" w:rsidRDefault="008F56BD">
            <w:pPr>
              <w:keepNext/>
              <w:keepLines/>
              <w:spacing w:line="276" w:lineRule="auto"/>
              <w:rPr>
                <w:rFonts w:eastAsia="Arial Unicode MS"/>
                <w:sz w:val="18"/>
                <w:szCs w:val="18"/>
              </w:rPr>
            </w:pPr>
          </w:p>
        </w:tc>
        <w:tc>
          <w:tcPr>
            <w:tcW w:w="5352" w:type="dxa"/>
            <w:tcBorders>
              <w:top w:val="dotted" w:sz="4" w:space="0" w:color="auto"/>
              <w:left w:val="single" w:sz="4" w:space="0" w:color="auto"/>
              <w:bottom w:val="single" w:sz="4" w:space="0" w:color="auto"/>
              <w:right w:val="single" w:sz="4" w:space="0" w:color="auto"/>
            </w:tcBorders>
            <w:hideMark/>
          </w:tcPr>
          <w:p w14:paraId="1F26FC45" w14:textId="77777777" w:rsidR="008F56BD" w:rsidRDefault="008F56BD">
            <w:pPr>
              <w:keepNext/>
              <w:keepLines/>
              <w:spacing w:line="276" w:lineRule="auto"/>
              <w:ind w:left="113" w:hanging="113"/>
              <w:rPr>
                <w:sz w:val="18"/>
                <w:szCs w:val="18"/>
              </w:rPr>
            </w:pPr>
            <w:r>
              <w:rPr>
                <w:sz w:val="18"/>
                <w:szCs w:val="18"/>
              </w:rPr>
              <w:t>Frozen raw ground beef (reduce microbial load)</w:t>
            </w:r>
          </w:p>
        </w:tc>
        <w:tc>
          <w:tcPr>
            <w:tcW w:w="1977" w:type="dxa"/>
            <w:tcBorders>
              <w:top w:val="dotted" w:sz="4" w:space="0" w:color="auto"/>
              <w:left w:val="single" w:sz="4" w:space="0" w:color="auto"/>
              <w:bottom w:val="single" w:sz="4" w:space="0" w:color="auto"/>
              <w:right w:val="single" w:sz="4" w:space="0" w:color="auto"/>
            </w:tcBorders>
            <w:hideMark/>
          </w:tcPr>
          <w:p w14:paraId="35A89ABD" w14:textId="77777777" w:rsidR="008F56BD" w:rsidRDefault="008F56BD">
            <w:pPr>
              <w:keepNext/>
              <w:keepLines/>
              <w:spacing w:line="276" w:lineRule="auto"/>
              <w:rPr>
                <w:rFonts w:eastAsia="Arial Unicode MS"/>
                <w:sz w:val="18"/>
                <w:szCs w:val="18"/>
              </w:rPr>
            </w:pPr>
            <w:r>
              <w:rPr>
                <w:rFonts w:eastAsia="Arial Unicode MS"/>
                <w:sz w:val="18"/>
                <w:szCs w:val="18"/>
              </w:rPr>
              <w:t>1.5 to 7</w:t>
            </w:r>
          </w:p>
        </w:tc>
      </w:tr>
      <w:tr w:rsidR="008F56BD" w14:paraId="4CD60A73" w14:textId="77777777" w:rsidTr="008F56BD">
        <w:trPr>
          <w:trHeight w:val="278"/>
        </w:trPr>
        <w:tc>
          <w:tcPr>
            <w:tcW w:w="1731" w:type="dxa"/>
            <w:tcBorders>
              <w:top w:val="single" w:sz="4" w:space="0" w:color="auto"/>
              <w:left w:val="single" w:sz="4" w:space="0" w:color="auto"/>
              <w:bottom w:val="nil"/>
              <w:right w:val="single" w:sz="4" w:space="0" w:color="auto"/>
            </w:tcBorders>
            <w:hideMark/>
          </w:tcPr>
          <w:p w14:paraId="167388E4" w14:textId="77777777" w:rsidR="008F56BD" w:rsidRDefault="008F56BD">
            <w:pPr>
              <w:spacing w:line="276" w:lineRule="auto"/>
              <w:rPr>
                <w:rFonts w:eastAsia="Arial Unicode MS"/>
                <w:sz w:val="18"/>
                <w:szCs w:val="18"/>
              </w:rPr>
            </w:pPr>
            <w:r>
              <w:rPr>
                <w:rFonts w:eastAsia="Arial Unicode MS"/>
                <w:sz w:val="18"/>
                <w:szCs w:val="18"/>
              </w:rPr>
              <w:t>USA</w:t>
            </w:r>
            <w:r>
              <w:rPr>
                <w:rStyle w:val="FootnoteReference"/>
                <w:rFonts w:eastAsia="Arial Unicode MS"/>
                <w:sz w:val="18"/>
                <w:szCs w:val="18"/>
              </w:rPr>
              <w:footnoteReference w:id="5"/>
            </w:r>
          </w:p>
        </w:tc>
        <w:tc>
          <w:tcPr>
            <w:tcW w:w="5352" w:type="dxa"/>
            <w:tcBorders>
              <w:top w:val="single" w:sz="4" w:space="0" w:color="auto"/>
              <w:left w:val="single" w:sz="4" w:space="0" w:color="auto"/>
              <w:bottom w:val="dotted" w:sz="4" w:space="0" w:color="auto"/>
              <w:right w:val="single" w:sz="4" w:space="0" w:color="auto"/>
            </w:tcBorders>
            <w:hideMark/>
          </w:tcPr>
          <w:p w14:paraId="69574FAB" w14:textId="77777777" w:rsidR="008F56BD" w:rsidRDefault="008F56BD">
            <w:pPr>
              <w:spacing w:line="276" w:lineRule="auto"/>
              <w:rPr>
                <w:sz w:val="18"/>
                <w:szCs w:val="18"/>
              </w:rPr>
            </w:pPr>
            <w:r>
              <w:rPr>
                <w:rFonts w:eastAsia="Arial Unicode MS"/>
                <w:sz w:val="18"/>
                <w:szCs w:val="18"/>
              </w:rPr>
              <w:t xml:space="preserve">Pork carcasses and cuts (control of </w:t>
            </w:r>
            <w:r>
              <w:rPr>
                <w:rFonts w:eastAsia="Arial Unicode MS"/>
                <w:i/>
                <w:sz w:val="18"/>
                <w:szCs w:val="18"/>
              </w:rPr>
              <w:t>Trichinella spiralis</w:t>
            </w:r>
            <w:r>
              <w:rPr>
                <w:rFonts w:eastAsia="Arial Unicode MS"/>
                <w:sz w:val="18"/>
                <w:szCs w:val="18"/>
              </w:rPr>
              <w:t>)</w:t>
            </w:r>
          </w:p>
        </w:tc>
        <w:tc>
          <w:tcPr>
            <w:tcW w:w="1977" w:type="dxa"/>
            <w:tcBorders>
              <w:top w:val="single" w:sz="4" w:space="0" w:color="auto"/>
              <w:left w:val="single" w:sz="4" w:space="0" w:color="auto"/>
              <w:bottom w:val="dotted" w:sz="4" w:space="0" w:color="auto"/>
              <w:right w:val="single" w:sz="4" w:space="0" w:color="auto"/>
            </w:tcBorders>
            <w:hideMark/>
          </w:tcPr>
          <w:p w14:paraId="55983FD7" w14:textId="77777777" w:rsidR="008F56BD" w:rsidRDefault="008F56BD">
            <w:pPr>
              <w:spacing w:line="276" w:lineRule="auto"/>
              <w:rPr>
                <w:rFonts w:eastAsia="Arial Unicode MS"/>
                <w:sz w:val="18"/>
                <w:szCs w:val="18"/>
              </w:rPr>
            </w:pPr>
            <w:r>
              <w:rPr>
                <w:rFonts w:eastAsia="Arial Unicode MS"/>
                <w:sz w:val="18"/>
                <w:szCs w:val="18"/>
              </w:rPr>
              <w:t>0.3 to 1</w:t>
            </w:r>
          </w:p>
        </w:tc>
      </w:tr>
      <w:tr w:rsidR="008F56BD" w14:paraId="2620192C" w14:textId="77777777" w:rsidTr="008F56BD">
        <w:trPr>
          <w:trHeight w:val="263"/>
        </w:trPr>
        <w:tc>
          <w:tcPr>
            <w:tcW w:w="1731" w:type="dxa"/>
            <w:tcBorders>
              <w:top w:val="nil"/>
              <w:left w:val="single" w:sz="4" w:space="0" w:color="auto"/>
              <w:bottom w:val="nil"/>
              <w:right w:val="single" w:sz="4" w:space="0" w:color="auto"/>
            </w:tcBorders>
          </w:tcPr>
          <w:p w14:paraId="4A5BB478"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3B273F81" w14:textId="77777777" w:rsidR="008F56BD" w:rsidRDefault="008F56BD">
            <w:pPr>
              <w:spacing w:line="276" w:lineRule="auto"/>
              <w:rPr>
                <w:rFonts w:eastAsia="Arial Unicode MS"/>
                <w:sz w:val="18"/>
                <w:szCs w:val="18"/>
              </w:rPr>
            </w:pPr>
            <w:r>
              <w:rPr>
                <w:rFonts w:eastAsia="Arial Unicode MS"/>
                <w:sz w:val="18"/>
                <w:szCs w:val="18"/>
              </w:rPr>
              <w:t>Growth and maturation inhibition of fresh foods</w:t>
            </w:r>
          </w:p>
        </w:tc>
        <w:tc>
          <w:tcPr>
            <w:tcW w:w="1977" w:type="dxa"/>
            <w:tcBorders>
              <w:top w:val="dotted" w:sz="4" w:space="0" w:color="auto"/>
              <w:left w:val="single" w:sz="4" w:space="0" w:color="auto"/>
              <w:bottom w:val="dotted" w:sz="4" w:space="0" w:color="auto"/>
              <w:right w:val="single" w:sz="4" w:space="0" w:color="auto"/>
            </w:tcBorders>
            <w:hideMark/>
          </w:tcPr>
          <w:p w14:paraId="6BBBFE85" w14:textId="77777777" w:rsidR="008F56BD" w:rsidRDefault="008F56BD">
            <w:pPr>
              <w:spacing w:line="276" w:lineRule="auto"/>
              <w:rPr>
                <w:rFonts w:eastAsia="Arial Unicode MS"/>
                <w:sz w:val="18"/>
                <w:szCs w:val="18"/>
              </w:rPr>
            </w:pPr>
            <w:r>
              <w:rPr>
                <w:rFonts w:eastAsia="Arial Unicode MS"/>
                <w:sz w:val="18"/>
                <w:szCs w:val="18"/>
              </w:rPr>
              <w:t>1</w:t>
            </w:r>
          </w:p>
        </w:tc>
      </w:tr>
      <w:tr w:rsidR="008F56BD" w14:paraId="14264101" w14:textId="77777777" w:rsidTr="008F56BD">
        <w:trPr>
          <w:trHeight w:val="263"/>
        </w:trPr>
        <w:tc>
          <w:tcPr>
            <w:tcW w:w="1731" w:type="dxa"/>
            <w:tcBorders>
              <w:top w:val="nil"/>
              <w:left w:val="single" w:sz="4" w:space="0" w:color="auto"/>
              <w:bottom w:val="nil"/>
              <w:right w:val="single" w:sz="4" w:space="0" w:color="auto"/>
            </w:tcBorders>
          </w:tcPr>
          <w:p w14:paraId="38727358"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19BFBFF4" w14:textId="77777777" w:rsidR="008F56BD" w:rsidRPr="004F742E" w:rsidRDefault="008F56BD">
            <w:pPr>
              <w:spacing w:line="276" w:lineRule="auto"/>
              <w:rPr>
                <w:rFonts w:eastAsia="Arial Unicode MS"/>
                <w:sz w:val="18"/>
                <w:szCs w:val="18"/>
              </w:rPr>
            </w:pPr>
            <w:r w:rsidRPr="004F742E">
              <w:rPr>
                <w:rFonts w:eastAsia="Arial Unicode MS"/>
                <w:sz w:val="18"/>
                <w:szCs w:val="18"/>
              </w:rPr>
              <w:t>Disinfestation of arthropod pests in food</w:t>
            </w:r>
          </w:p>
        </w:tc>
        <w:tc>
          <w:tcPr>
            <w:tcW w:w="1977" w:type="dxa"/>
            <w:tcBorders>
              <w:top w:val="dotted" w:sz="4" w:space="0" w:color="auto"/>
              <w:left w:val="single" w:sz="4" w:space="0" w:color="auto"/>
              <w:bottom w:val="dotted" w:sz="4" w:space="0" w:color="auto"/>
              <w:right w:val="single" w:sz="4" w:space="0" w:color="auto"/>
            </w:tcBorders>
            <w:hideMark/>
          </w:tcPr>
          <w:p w14:paraId="6C33A3F8" w14:textId="77777777" w:rsidR="008F56BD" w:rsidRDefault="008F56BD">
            <w:pPr>
              <w:spacing w:line="276" w:lineRule="auto"/>
              <w:rPr>
                <w:rFonts w:eastAsia="Arial Unicode MS"/>
                <w:sz w:val="18"/>
                <w:szCs w:val="18"/>
              </w:rPr>
            </w:pPr>
            <w:r>
              <w:rPr>
                <w:rFonts w:eastAsia="Arial Unicode MS"/>
                <w:sz w:val="18"/>
                <w:szCs w:val="18"/>
              </w:rPr>
              <w:t>1</w:t>
            </w:r>
          </w:p>
        </w:tc>
      </w:tr>
      <w:tr w:rsidR="008F56BD" w14:paraId="4B84B9B5" w14:textId="77777777" w:rsidTr="008F56BD">
        <w:trPr>
          <w:trHeight w:val="263"/>
        </w:trPr>
        <w:tc>
          <w:tcPr>
            <w:tcW w:w="1731" w:type="dxa"/>
            <w:tcBorders>
              <w:top w:val="nil"/>
              <w:left w:val="single" w:sz="4" w:space="0" w:color="auto"/>
              <w:bottom w:val="nil"/>
              <w:right w:val="single" w:sz="4" w:space="0" w:color="auto"/>
            </w:tcBorders>
          </w:tcPr>
          <w:p w14:paraId="1A988A06"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68F3C6AB" w14:textId="77777777" w:rsidR="008F56BD" w:rsidRDefault="008F56BD">
            <w:pPr>
              <w:spacing w:line="276" w:lineRule="auto"/>
              <w:rPr>
                <w:rFonts w:eastAsia="Arial Unicode MS"/>
                <w:sz w:val="18"/>
                <w:szCs w:val="18"/>
              </w:rPr>
            </w:pPr>
            <w:r>
              <w:rPr>
                <w:rFonts w:eastAsia="Arial Unicode MS"/>
                <w:sz w:val="18"/>
                <w:szCs w:val="18"/>
              </w:rPr>
              <w:t>Dry or dehydrated enzyme preparations (microbial</w:t>
            </w:r>
          </w:p>
        </w:tc>
        <w:tc>
          <w:tcPr>
            <w:tcW w:w="1977" w:type="dxa"/>
            <w:tcBorders>
              <w:top w:val="dotted" w:sz="4" w:space="0" w:color="auto"/>
              <w:left w:val="single" w:sz="4" w:space="0" w:color="auto"/>
              <w:bottom w:val="nil"/>
              <w:right w:val="single" w:sz="4" w:space="0" w:color="auto"/>
            </w:tcBorders>
            <w:hideMark/>
          </w:tcPr>
          <w:p w14:paraId="6B197AB1" w14:textId="77777777" w:rsidR="008F56BD" w:rsidRDefault="008F56BD">
            <w:pPr>
              <w:spacing w:line="276" w:lineRule="auto"/>
              <w:rPr>
                <w:rFonts w:eastAsia="Arial Unicode MS"/>
                <w:sz w:val="18"/>
                <w:szCs w:val="18"/>
              </w:rPr>
            </w:pPr>
            <w:r>
              <w:rPr>
                <w:rFonts w:eastAsia="Arial Unicode MS"/>
                <w:sz w:val="18"/>
                <w:szCs w:val="18"/>
              </w:rPr>
              <w:t>10</w:t>
            </w:r>
          </w:p>
        </w:tc>
      </w:tr>
      <w:tr w:rsidR="008F56BD" w14:paraId="7F4B325A" w14:textId="77777777" w:rsidTr="008F56BD">
        <w:trPr>
          <w:trHeight w:val="263"/>
        </w:trPr>
        <w:tc>
          <w:tcPr>
            <w:tcW w:w="1731" w:type="dxa"/>
            <w:tcBorders>
              <w:top w:val="nil"/>
              <w:left w:val="single" w:sz="4" w:space="0" w:color="auto"/>
              <w:bottom w:val="nil"/>
              <w:right w:val="single" w:sz="4" w:space="0" w:color="auto"/>
            </w:tcBorders>
          </w:tcPr>
          <w:p w14:paraId="3DD533B0"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372CC619" w14:textId="77777777" w:rsidR="008F56BD" w:rsidRDefault="008F56BD">
            <w:pPr>
              <w:spacing w:line="276" w:lineRule="auto"/>
              <w:rPr>
                <w:rFonts w:eastAsia="Arial Unicode MS"/>
                <w:sz w:val="18"/>
                <w:szCs w:val="18"/>
              </w:rPr>
            </w:pPr>
            <w:r>
              <w:rPr>
                <w:rFonts w:eastAsia="Arial Unicode MS"/>
                <w:sz w:val="18"/>
                <w:szCs w:val="18"/>
              </w:rPr>
              <w:t>disinfestation)</w:t>
            </w:r>
          </w:p>
        </w:tc>
        <w:tc>
          <w:tcPr>
            <w:tcW w:w="1977" w:type="dxa"/>
            <w:tcBorders>
              <w:top w:val="nil"/>
              <w:left w:val="single" w:sz="4" w:space="0" w:color="auto"/>
              <w:bottom w:val="dotted" w:sz="4" w:space="0" w:color="auto"/>
              <w:right w:val="single" w:sz="4" w:space="0" w:color="auto"/>
            </w:tcBorders>
          </w:tcPr>
          <w:p w14:paraId="4BB87AC8" w14:textId="77777777" w:rsidR="008F56BD" w:rsidRDefault="008F56BD">
            <w:pPr>
              <w:spacing w:line="276" w:lineRule="auto"/>
              <w:rPr>
                <w:rFonts w:eastAsia="Arial Unicode MS"/>
                <w:sz w:val="18"/>
                <w:szCs w:val="18"/>
              </w:rPr>
            </w:pPr>
          </w:p>
        </w:tc>
      </w:tr>
      <w:tr w:rsidR="008F56BD" w14:paraId="383E578A" w14:textId="77777777" w:rsidTr="008F56BD">
        <w:trPr>
          <w:trHeight w:val="263"/>
        </w:trPr>
        <w:tc>
          <w:tcPr>
            <w:tcW w:w="1731" w:type="dxa"/>
            <w:tcBorders>
              <w:top w:val="nil"/>
              <w:left w:val="single" w:sz="4" w:space="0" w:color="auto"/>
              <w:bottom w:val="nil"/>
              <w:right w:val="single" w:sz="4" w:space="0" w:color="auto"/>
            </w:tcBorders>
          </w:tcPr>
          <w:p w14:paraId="02D7B5E3"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28697D70" w14:textId="77777777" w:rsidR="008F56BD" w:rsidRDefault="008F56BD">
            <w:pPr>
              <w:spacing w:line="276" w:lineRule="auto"/>
              <w:rPr>
                <w:rFonts w:eastAsia="Arial Unicode MS"/>
                <w:sz w:val="18"/>
                <w:szCs w:val="18"/>
              </w:rPr>
            </w:pPr>
            <w:r>
              <w:rPr>
                <w:sz w:val="18"/>
                <w:szCs w:val="18"/>
              </w:rPr>
              <w:t>Dry or dehydrated aromatic substances (</w:t>
            </w:r>
            <w:r>
              <w:rPr>
                <w:i/>
                <w:iCs/>
                <w:sz w:val="18"/>
                <w:szCs w:val="18"/>
              </w:rPr>
              <w:t>e.g.</w:t>
            </w:r>
            <w:r>
              <w:rPr>
                <w:sz w:val="18"/>
                <w:szCs w:val="18"/>
              </w:rPr>
              <w:t>, spices and</w:t>
            </w:r>
          </w:p>
        </w:tc>
        <w:tc>
          <w:tcPr>
            <w:tcW w:w="1977" w:type="dxa"/>
            <w:tcBorders>
              <w:top w:val="dotted" w:sz="4" w:space="0" w:color="auto"/>
              <w:left w:val="single" w:sz="4" w:space="0" w:color="auto"/>
              <w:bottom w:val="nil"/>
              <w:right w:val="single" w:sz="4" w:space="0" w:color="auto"/>
            </w:tcBorders>
            <w:hideMark/>
          </w:tcPr>
          <w:p w14:paraId="71FDFF76" w14:textId="77777777" w:rsidR="008F56BD" w:rsidRDefault="008F56BD">
            <w:pPr>
              <w:spacing w:line="276" w:lineRule="auto"/>
              <w:rPr>
                <w:rFonts w:eastAsia="Arial Unicode MS"/>
                <w:sz w:val="18"/>
                <w:szCs w:val="18"/>
              </w:rPr>
            </w:pPr>
            <w:r>
              <w:rPr>
                <w:rFonts w:eastAsia="Arial Unicode MS"/>
                <w:sz w:val="18"/>
                <w:szCs w:val="18"/>
              </w:rPr>
              <w:t>30</w:t>
            </w:r>
          </w:p>
        </w:tc>
      </w:tr>
      <w:tr w:rsidR="008F56BD" w14:paraId="7D57F754" w14:textId="77777777" w:rsidTr="008F56BD">
        <w:trPr>
          <w:trHeight w:val="263"/>
        </w:trPr>
        <w:tc>
          <w:tcPr>
            <w:tcW w:w="1731" w:type="dxa"/>
            <w:tcBorders>
              <w:top w:val="nil"/>
              <w:left w:val="single" w:sz="4" w:space="0" w:color="auto"/>
              <w:bottom w:val="nil"/>
              <w:right w:val="single" w:sz="4" w:space="0" w:color="auto"/>
            </w:tcBorders>
          </w:tcPr>
          <w:p w14:paraId="4AB124C5"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08DC7907" w14:textId="77777777" w:rsidR="008F56BD" w:rsidRDefault="008F56BD">
            <w:pPr>
              <w:spacing w:line="276" w:lineRule="auto"/>
              <w:rPr>
                <w:rFonts w:eastAsia="Arial Unicode MS"/>
                <w:sz w:val="18"/>
                <w:szCs w:val="18"/>
              </w:rPr>
            </w:pPr>
            <w:r>
              <w:rPr>
                <w:sz w:val="18"/>
                <w:szCs w:val="18"/>
              </w:rPr>
              <w:t xml:space="preserve">seasonings) (microbial disinfestation) </w:t>
            </w:r>
          </w:p>
        </w:tc>
        <w:tc>
          <w:tcPr>
            <w:tcW w:w="1977" w:type="dxa"/>
            <w:tcBorders>
              <w:top w:val="nil"/>
              <w:left w:val="single" w:sz="4" w:space="0" w:color="auto"/>
              <w:bottom w:val="dotted" w:sz="4" w:space="0" w:color="auto"/>
              <w:right w:val="single" w:sz="4" w:space="0" w:color="auto"/>
            </w:tcBorders>
          </w:tcPr>
          <w:p w14:paraId="0D1BC4C2" w14:textId="77777777" w:rsidR="008F56BD" w:rsidRDefault="008F56BD">
            <w:pPr>
              <w:spacing w:line="276" w:lineRule="auto"/>
              <w:rPr>
                <w:rFonts w:eastAsia="Arial Unicode MS"/>
                <w:sz w:val="18"/>
                <w:szCs w:val="18"/>
              </w:rPr>
            </w:pPr>
          </w:p>
        </w:tc>
      </w:tr>
      <w:tr w:rsidR="008F56BD" w14:paraId="798182E0" w14:textId="77777777" w:rsidTr="008F56BD">
        <w:trPr>
          <w:trHeight w:val="263"/>
        </w:trPr>
        <w:tc>
          <w:tcPr>
            <w:tcW w:w="1731" w:type="dxa"/>
            <w:tcBorders>
              <w:top w:val="nil"/>
              <w:left w:val="single" w:sz="4" w:space="0" w:color="auto"/>
              <w:bottom w:val="nil"/>
              <w:right w:val="single" w:sz="4" w:space="0" w:color="auto"/>
            </w:tcBorders>
          </w:tcPr>
          <w:p w14:paraId="32B83BD7"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60DC775A" w14:textId="77777777" w:rsidR="008F56BD" w:rsidRDefault="008F56BD">
            <w:pPr>
              <w:spacing w:line="276" w:lineRule="auto"/>
              <w:ind w:left="113" w:hanging="113"/>
              <w:rPr>
                <w:rFonts w:eastAsia="Arial Unicode MS"/>
                <w:sz w:val="18"/>
                <w:szCs w:val="18"/>
              </w:rPr>
            </w:pPr>
            <w:r>
              <w:rPr>
                <w:sz w:val="18"/>
                <w:szCs w:val="18"/>
              </w:rPr>
              <w:t>Poultry (control foodborne pathogens)</w:t>
            </w:r>
          </w:p>
        </w:tc>
        <w:tc>
          <w:tcPr>
            <w:tcW w:w="1977" w:type="dxa"/>
            <w:tcBorders>
              <w:top w:val="dotted" w:sz="4" w:space="0" w:color="auto"/>
              <w:left w:val="single" w:sz="4" w:space="0" w:color="auto"/>
              <w:bottom w:val="dotted" w:sz="4" w:space="0" w:color="auto"/>
              <w:right w:val="single" w:sz="4" w:space="0" w:color="auto"/>
            </w:tcBorders>
            <w:hideMark/>
          </w:tcPr>
          <w:p w14:paraId="04DBA625" w14:textId="77777777" w:rsidR="008F56BD" w:rsidRDefault="008F56BD">
            <w:pPr>
              <w:spacing w:line="276" w:lineRule="auto"/>
              <w:rPr>
                <w:rFonts w:eastAsia="Arial Unicode MS"/>
                <w:sz w:val="18"/>
                <w:szCs w:val="18"/>
              </w:rPr>
            </w:pPr>
            <w:r>
              <w:rPr>
                <w:rFonts w:eastAsia="Arial Unicode MS"/>
                <w:sz w:val="18"/>
                <w:szCs w:val="18"/>
              </w:rPr>
              <w:t>4.5 to 7.0</w:t>
            </w:r>
          </w:p>
        </w:tc>
      </w:tr>
      <w:tr w:rsidR="008F56BD" w14:paraId="157D0BFB" w14:textId="77777777" w:rsidTr="008F56BD">
        <w:trPr>
          <w:trHeight w:val="263"/>
        </w:trPr>
        <w:tc>
          <w:tcPr>
            <w:tcW w:w="1731" w:type="dxa"/>
            <w:tcBorders>
              <w:top w:val="nil"/>
              <w:left w:val="single" w:sz="4" w:space="0" w:color="auto"/>
              <w:bottom w:val="nil"/>
              <w:right w:val="single" w:sz="4" w:space="0" w:color="auto"/>
            </w:tcBorders>
          </w:tcPr>
          <w:p w14:paraId="7886B65F"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630F4309" w14:textId="77777777" w:rsidR="008F56BD" w:rsidRDefault="008F56BD">
            <w:pPr>
              <w:spacing w:line="276" w:lineRule="auto"/>
              <w:rPr>
                <w:rFonts w:eastAsia="Arial Unicode MS"/>
                <w:sz w:val="18"/>
                <w:szCs w:val="18"/>
              </w:rPr>
            </w:pPr>
            <w:r>
              <w:rPr>
                <w:sz w:val="18"/>
                <w:szCs w:val="18"/>
              </w:rPr>
              <w:t>Refrigerated and frozen uncooked meat and meat products</w:t>
            </w:r>
          </w:p>
        </w:tc>
        <w:tc>
          <w:tcPr>
            <w:tcW w:w="1977" w:type="dxa"/>
            <w:tcBorders>
              <w:top w:val="dotted" w:sz="4" w:space="0" w:color="auto"/>
              <w:left w:val="single" w:sz="4" w:space="0" w:color="auto"/>
              <w:bottom w:val="nil"/>
              <w:right w:val="single" w:sz="4" w:space="0" w:color="auto"/>
            </w:tcBorders>
            <w:hideMark/>
          </w:tcPr>
          <w:p w14:paraId="5B8B9918" w14:textId="77777777" w:rsidR="008F56BD" w:rsidRDefault="008F56BD">
            <w:pPr>
              <w:spacing w:line="276" w:lineRule="auto"/>
              <w:rPr>
                <w:rFonts w:eastAsia="Arial Unicode MS"/>
                <w:sz w:val="18"/>
                <w:szCs w:val="18"/>
              </w:rPr>
            </w:pPr>
            <w:r>
              <w:rPr>
                <w:rFonts w:eastAsia="Arial Unicode MS"/>
                <w:sz w:val="18"/>
                <w:szCs w:val="18"/>
              </w:rPr>
              <w:t>4.5 to 7.0</w:t>
            </w:r>
          </w:p>
        </w:tc>
      </w:tr>
      <w:tr w:rsidR="008F56BD" w14:paraId="21E3A638" w14:textId="77777777" w:rsidTr="008F56BD">
        <w:trPr>
          <w:trHeight w:val="263"/>
        </w:trPr>
        <w:tc>
          <w:tcPr>
            <w:tcW w:w="1731" w:type="dxa"/>
            <w:tcBorders>
              <w:top w:val="nil"/>
              <w:left w:val="single" w:sz="4" w:space="0" w:color="auto"/>
              <w:bottom w:val="nil"/>
              <w:right w:val="single" w:sz="4" w:space="0" w:color="auto"/>
            </w:tcBorders>
          </w:tcPr>
          <w:p w14:paraId="794162FD"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5C7F76B3" w14:textId="77777777" w:rsidR="008F56BD" w:rsidRDefault="008F56BD">
            <w:pPr>
              <w:spacing w:line="276" w:lineRule="auto"/>
              <w:ind w:left="113" w:hanging="113"/>
              <w:rPr>
                <w:rFonts w:eastAsia="Arial Unicode MS"/>
                <w:sz w:val="18"/>
                <w:szCs w:val="18"/>
              </w:rPr>
            </w:pPr>
            <w:r>
              <w:rPr>
                <w:sz w:val="18"/>
                <w:szCs w:val="18"/>
              </w:rPr>
              <w:t>(foodborne pathogens and extension of shelf-life)</w:t>
            </w:r>
          </w:p>
        </w:tc>
        <w:tc>
          <w:tcPr>
            <w:tcW w:w="1977" w:type="dxa"/>
            <w:tcBorders>
              <w:top w:val="nil"/>
              <w:left w:val="single" w:sz="4" w:space="0" w:color="auto"/>
              <w:bottom w:val="dotted" w:sz="4" w:space="0" w:color="auto"/>
              <w:right w:val="single" w:sz="4" w:space="0" w:color="auto"/>
            </w:tcBorders>
          </w:tcPr>
          <w:p w14:paraId="20F9955C" w14:textId="77777777" w:rsidR="008F56BD" w:rsidRDefault="008F56BD">
            <w:pPr>
              <w:spacing w:line="276" w:lineRule="auto"/>
              <w:rPr>
                <w:rFonts w:eastAsia="Arial Unicode MS"/>
                <w:sz w:val="18"/>
                <w:szCs w:val="18"/>
              </w:rPr>
            </w:pPr>
          </w:p>
        </w:tc>
      </w:tr>
      <w:tr w:rsidR="008F56BD" w14:paraId="7F2D236D" w14:textId="77777777" w:rsidTr="008F56BD">
        <w:trPr>
          <w:trHeight w:val="263"/>
        </w:trPr>
        <w:tc>
          <w:tcPr>
            <w:tcW w:w="1731" w:type="dxa"/>
            <w:tcBorders>
              <w:top w:val="nil"/>
              <w:left w:val="single" w:sz="4" w:space="0" w:color="auto"/>
              <w:bottom w:val="nil"/>
              <w:right w:val="single" w:sz="4" w:space="0" w:color="auto"/>
            </w:tcBorders>
          </w:tcPr>
          <w:p w14:paraId="356C63DF"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1A403E53" w14:textId="221040CD" w:rsidR="008F56BD" w:rsidRDefault="008F56BD">
            <w:pPr>
              <w:spacing w:line="276" w:lineRule="auto"/>
              <w:ind w:left="113" w:hanging="113"/>
              <w:rPr>
                <w:rFonts w:eastAsia="Arial Unicode MS"/>
                <w:sz w:val="18"/>
                <w:szCs w:val="18"/>
              </w:rPr>
            </w:pPr>
            <w:r>
              <w:rPr>
                <w:sz w:val="18"/>
                <w:szCs w:val="18"/>
              </w:rPr>
              <w:t xml:space="preserve">Eggs (control of </w:t>
            </w:r>
            <w:r w:rsidR="009F2617" w:rsidRPr="004F742E">
              <w:rPr>
                <w:i/>
                <w:sz w:val="18"/>
                <w:szCs w:val="18"/>
              </w:rPr>
              <w:t>S</w:t>
            </w:r>
            <w:r w:rsidRPr="004F742E">
              <w:rPr>
                <w:i/>
                <w:sz w:val="18"/>
                <w:szCs w:val="18"/>
              </w:rPr>
              <w:t>almonella</w:t>
            </w:r>
            <w:r>
              <w:rPr>
                <w:sz w:val="18"/>
                <w:szCs w:val="18"/>
              </w:rPr>
              <w:t>)</w:t>
            </w:r>
          </w:p>
        </w:tc>
        <w:tc>
          <w:tcPr>
            <w:tcW w:w="1977" w:type="dxa"/>
            <w:tcBorders>
              <w:top w:val="dotted" w:sz="4" w:space="0" w:color="auto"/>
              <w:left w:val="single" w:sz="4" w:space="0" w:color="auto"/>
              <w:bottom w:val="dotted" w:sz="4" w:space="0" w:color="auto"/>
              <w:right w:val="single" w:sz="4" w:space="0" w:color="auto"/>
            </w:tcBorders>
            <w:hideMark/>
          </w:tcPr>
          <w:p w14:paraId="2DA3C79A" w14:textId="77777777" w:rsidR="008F56BD" w:rsidRDefault="008F56BD">
            <w:pPr>
              <w:spacing w:line="276" w:lineRule="auto"/>
              <w:rPr>
                <w:rFonts w:eastAsia="Arial Unicode MS"/>
                <w:sz w:val="18"/>
                <w:szCs w:val="18"/>
              </w:rPr>
            </w:pPr>
            <w:r>
              <w:rPr>
                <w:rFonts w:eastAsia="Arial Unicode MS"/>
                <w:sz w:val="18"/>
                <w:szCs w:val="18"/>
              </w:rPr>
              <w:t>3.0</w:t>
            </w:r>
          </w:p>
        </w:tc>
      </w:tr>
      <w:tr w:rsidR="008F56BD" w14:paraId="08EF4687" w14:textId="77777777" w:rsidTr="008F56BD">
        <w:trPr>
          <w:trHeight w:val="263"/>
        </w:trPr>
        <w:tc>
          <w:tcPr>
            <w:tcW w:w="1731" w:type="dxa"/>
            <w:tcBorders>
              <w:top w:val="nil"/>
              <w:left w:val="single" w:sz="4" w:space="0" w:color="auto"/>
              <w:bottom w:val="nil"/>
              <w:right w:val="single" w:sz="4" w:space="0" w:color="auto"/>
            </w:tcBorders>
          </w:tcPr>
          <w:p w14:paraId="01B50D8E"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19D5A4EE" w14:textId="51A8C5C2" w:rsidR="008F56BD" w:rsidRDefault="008F56BD">
            <w:pPr>
              <w:spacing w:line="276" w:lineRule="auto"/>
              <w:ind w:left="113" w:hanging="113"/>
              <w:rPr>
                <w:rFonts w:eastAsia="Arial Unicode MS"/>
                <w:sz w:val="18"/>
                <w:szCs w:val="18"/>
              </w:rPr>
            </w:pPr>
            <w:r>
              <w:rPr>
                <w:sz w:val="18"/>
                <w:szCs w:val="18"/>
              </w:rPr>
              <w:t xml:space="preserve">Fresh or frozen molluscan shellfish (control of </w:t>
            </w:r>
            <w:r w:rsidR="009F2617" w:rsidRPr="004F742E">
              <w:rPr>
                <w:i/>
                <w:sz w:val="18"/>
                <w:szCs w:val="18"/>
              </w:rPr>
              <w:t>V</w:t>
            </w:r>
            <w:r w:rsidRPr="004F742E">
              <w:rPr>
                <w:i/>
                <w:sz w:val="18"/>
                <w:szCs w:val="18"/>
              </w:rPr>
              <w:t>ibrio</w:t>
            </w:r>
            <w:r>
              <w:rPr>
                <w:sz w:val="18"/>
                <w:szCs w:val="18"/>
              </w:rPr>
              <w:t xml:space="preserve"> bacteria)</w:t>
            </w:r>
          </w:p>
        </w:tc>
        <w:tc>
          <w:tcPr>
            <w:tcW w:w="1977" w:type="dxa"/>
            <w:tcBorders>
              <w:top w:val="dotted" w:sz="4" w:space="0" w:color="auto"/>
              <w:left w:val="single" w:sz="4" w:space="0" w:color="auto"/>
              <w:bottom w:val="dotted" w:sz="4" w:space="0" w:color="auto"/>
              <w:right w:val="single" w:sz="4" w:space="0" w:color="auto"/>
            </w:tcBorders>
            <w:hideMark/>
          </w:tcPr>
          <w:p w14:paraId="3424F59D" w14:textId="77777777" w:rsidR="008F56BD" w:rsidRDefault="008F56BD">
            <w:pPr>
              <w:spacing w:line="276" w:lineRule="auto"/>
              <w:rPr>
                <w:rFonts w:eastAsia="Arial Unicode MS"/>
                <w:sz w:val="18"/>
                <w:szCs w:val="18"/>
              </w:rPr>
            </w:pPr>
            <w:r>
              <w:rPr>
                <w:rFonts w:eastAsia="Arial Unicode MS"/>
                <w:sz w:val="18"/>
                <w:szCs w:val="18"/>
              </w:rPr>
              <w:t>5.5</w:t>
            </w:r>
          </w:p>
        </w:tc>
      </w:tr>
      <w:tr w:rsidR="008F56BD" w14:paraId="74D144E3" w14:textId="77777777" w:rsidTr="008F56BD">
        <w:trPr>
          <w:trHeight w:val="263"/>
        </w:trPr>
        <w:tc>
          <w:tcPr>
            <w:tcW w:w="1731" w:type="dxa"/>
            <w:tcBorders>
              <w:top w:val="nil"/>
              <w:left w:val="single" w:sz="4" w:space="0" w:color="auto"/>
              <w:bottom w:val="nil"/>
              <w:right w:val="single" w:sz="4" w:space="0" w:color="auto"/>
            </w:tcBorders>
          </w:tcPr>
          <w:p w14:paraId="5E716F40"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40C5CBA8" w14:textId="77777777" w:rsidR="008F56BD" w:rsidRDefault="008F56BD">
            <w:pPr>
              <w:spacing w:line="276" w:lineRule="auto"/>
              <w:rPr>
                <w:rFonts w:eastAsia="Arial Unicode MS"/>
                <w:sz w:val="18"/>
                <w:szCs w:val="18"/>
              </w:rPr>
            </w:pPr>
            <w:r>
              <w:rPr>
                <w:sz w:val="18"/>
                <w:szCs w:val="18"/>
              </w:rPr>
              <w:t>Fresh iceberg lettuce and fresh spinach (control of foodborne</w:t>
            </w:r>
          </w:p>
        </w:tc>
        <w:tc>
          <w:tcPr>
            <w:tcW w:w="1977" w:type="dxa"/>
            <w:tcBorders>
              <w:top w:val="dotted" w:sz="4" w:space="0" w:color="auto"/>
              <w:left w:val="single" w:sz="4" w:space="0" w:color="auto"/>
              <w:bottom w:val="nil"/>
              <w:right w:val="single" w:sz="4" w:space="0" w:color="auto"/>
            </w:tcBorders>
            <w:hideMark/>
          </w:tcPr>
          <w:p w14:paraId="7F22CAF6" w14:textId="77777777" w:rsidR="008F56BD" w:rsidRDefault="008F56BD">
            <w:pPr>
              <w:spacing w:line="276" w:lineRule="auto"/>
              <w:rPr>
                <w:rFonts w:eastAsia="Arial Unicode MS"/>
                <w:sz w:val="18"/>
                <w:szCs w:val="18"/>
              </w:rPr>
            </w:pPr>
            <w:r>
              <w:rPr>
                <w:rFonts w:eastAsia="Arial Unicode MS"/>
                <w:sz w:val="18"/>
                <w:szCs w:val="18"/>
              </w:rPr>
              <w:t>4.0</w:t>
            </w:r>
          </w:p>
        </w:tc>
      </w:tr>
      <w:tr w:rsidR="008F56BD" w14:paraId="6677B863" w14:textId="77777777" w:rsidTr="008F56BD">
        <w:trPr>
          <w:trHeight w:val="263"/>
        </w:trPr>
        <w:tc>
          <w:tcPr>
            <w:tcW w:w="1731" w:type="dxa"/>
            <w:tcBorders>
              <w:top w:val="nil"/>
              <w:left w:val="single" w:sz="4" w:space="0" w:color="auto"/>
              <w:bottom w:val="nil"/>
              <w:right w:val="single" w:sz="4" w:space="0" w:color="auto"/>
            </w:tcBorders>
          </w:tcPr>
          <w:p w14:paraId="1B4CACAE"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67895E8F" w14:textId="77777777" w:rsidR="008F56BD" w:rsidRDefault="008F56BD">
            <w:pPr>
              <w:spacing w:line="276" w:lineRule="auto"/>
              <w:ind w:left="113" w:hanging="113"/>
              <w:rPr>
                <w:rFonts w:eastAsia="Arial Unicode MS"/>
                <w:sz w:val="18"/>
                <w:szCs w:val="18"/>
              </w:rPr>
            </w:pPr>
            <w:r>
              <w:rPr>
                <w:sz w:val="18"/>
                <w:szCs w:val="18"/>
              </w:rPr>
              <w:t>pathogens, extension of shelf-life)</w:t>
            </w:r>
          </w:p>
        </w:tc>
        <w:tc>
          <w:tcPr>
            <w:tcW w:w="1977" w:type="dxa"/>
            <w:tcBorders>
              <w:top w:val="nil"/>
              <w:left w:val="single" w:sz="4" w:space="0" w:color="auto"/>
              <w:bottom w:val="dotted" w:sz="4" w:space="0" w:color="auto"/>
              <w:right w:val="single" w:sz="4" w:space="0" w:color="auto"/>
            </w:tcBorders>
          </w:tcPr>
          <w:p w14:paraId="1BFD7B81" w14:textId="77777777" w:rsidR="008F56BD" w:rsidRDefault="008F56BD">
            <w:pPr>
              <w:spacing w:line="276" w:lineRule="auto"/>
              <w:rPr>
                <w:rFonts w:eastAsia="Arial Unicode MS"/>
                <w:sz w:val="18"/>
                <w:szCs w:val="18"/>
              </w:rPr>
            </w:pPr>
          </w:p>
        </w:tc>
      </w:tr>
      <w:tr w:rsidR="008F56BD" w14:paraId="0E00C4E5" w14:textId="77777777" w:rsidTr="008F56BD">
        <w:trPr>
          <w:trHeight w:val="263"/>
        </w:trPr>
        <w:tc>
          <w:tcPr>
            <w:tcW w:w="1731" w:type="dxa"/>
            <w:tcBorders>
              <w:top w:val="nil"/>
              <w:left w:val="single" w:sz="4" w:space="0" w:color="auto"/>
              <w:bottom w:val="nil"/>
              <w:right w:val="single" w:sz="4" w:space="0" w:color="auto"/>
            </w:tcBorders>
          </w:tcPr>
          <w:p w14:paraId="19E99478"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30F185A7" w14:textId="77777777" w:rsidR="008F56BD" w:rsidRDefault="008F56BD">
            <w:pPr>
              <w:spacing w:line="276" w:lineRule="auto"/>
              <w:rPr>
                <w:rFonts w:eastAsia="Arial Unicode MS"/>
                <w:sz w:val="18"/>
                <w:szCs w:val="18"/>
              </w:rPr>
            </w:pPr>
            <w:r>
              <w:rPr>
                <w:sz w:val="18"/>
                <w:szCs w:val="18"/>
              </w:rPr>
              <w:t>Unrefrigerated (as well as refrigerated) uncooked meat and</w:t>
            </w:r>
          </w:p>
        </w:tc>
        <w:tc>
          <w:tcPr>
            <w:tcW w:w="1977" w:type="dxa"/>
            <w:tcBorders>
              <w:top w:val="dotted" w:sz="4" w:space="0" w:color="auto"/>
              <w:left w:val="single" w:sz="4" w:space="0" w:color="auto"/>
              <w:bottom w:val="nil"/>
              <w:right w:val="single" w:sz="4" w:space="0" w:color="auto"/>
            </w:tcBorders>
            <w:hideMark/>
          </w:tcPr>
          <w:p w14:paraId="3CA12B23" w14:textId="77777777" w:rsidR="008F56BD" w:rsidRDefault="008F56BD">
            <w:pPr>
              <w:spacing w:line="276" w:lineRule="auto"/>
              <w:rPr>
                <w:rFonts w:eastAsia="Arial Unicode MS"/>
                <w:sz w:val="18"/>
                <w:szCs w:val="18"/>
              </w:rPr>
            </w:pPr>
            <w:r>
              <w:rPr>
                <w:rFonts w:eastAsia="Arial Unicode MS"/>
                <w:sz w:val="18"/>
                <w:szCs w:val="18"/>
              </w:rPr>
              <w:t>4.5</w:t>
            </w:r>
          </w:p>
        </w:tc>
      </w:tr>
      <w:tr w:rsidR="008F56BD" w14:paraId="7D5A0B4E" w14:textId="77777777" w:rsidTr="008F56BD">
        <w:trPr>
          <w:trHeight w:val="263"/>
        </w:trPr>
        <w:tc>
          <w:tcPr>
            <w:tcW w:w="1731" w:type="dxa"/>
            <w:tcBorders>
              <w:top w:val="nil"/>
              <w:left w:val="single" w:sz="4" w:space="0" w:color="auto"/>
              <w:bottom w:val="nil"/>
              <w:right w:val="single" w:sz="4" w:space="0" w:color="auto"/>
            </w:tcBorders>
          </w:tcPr>
          <w:p w14:paraId="4E8E3D3D"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41D021E7" w14:textId="77777777" w:rsidR="008F56BD" w:rsidRDefault="008F56BD">
            <w:pPr>
              <w:spacing w:line="276" w:lineRule="auto"/>
              <w:ind w:left="113" w:hanging="113"/>
              <w:rPr>
                <w:rFonts w:eastAsia="Arial Unicode MS"/>
                <w:sz w:val="18"/>
                <w:szCs w:val="18"/>
              </w:rPr>
            </w:pPr>
            <w:r>
              <w:rPr>
                <w:sz w:val="18"/>
                <w:szCs w:val="18"/>
              </w:rPr>
              <w:t>meat products (foodborne pathogens)</w:t>
            </w:r>
          </w:p>
        </w:tc>
        <w:tc>
          <w:tcPr>
            <w:tcW w:w="1977" w:type="dxa"/>
            <w:tcBorders>
              <w:top w:val="nil"/>
              <w:left w:val="single" w:sz="4" w:space="0" w:color="auto"/>
              <w:bottom w:val="dotted" w:sz="4" w:space="0" w:color="auto"/>
              <w:right w:val="single" w:sz="4" w:space="0" w:color="auto"/>
            </w:tcBorders>
          </w:tcPr>
          <w:p w14:paraId="68B18577" w14:textId="77777777" w:rsidR="008F56BD" w:rsidRDefault="008F56BD">
            <w:pPr>
              <w:spacing w:line="276" w:lineRule="auto"/>
              <w:rPr>
                <w:rFonts w:eastAsia="Arial Unicode MS"/>
                <w:sz w:val="18"/>
                <w:szCs w:val="18"/>
              </w:rPr>
            </w:pPr>
          </w:p>
        </w:tc>
      </w:tr>
      <w:tr w:rsidR="008F56BD" w14:paraId="4A53E3BF" w14:textId="77777777" w:rsidTr="008F56BD">
        <w:trPr>
          <w:trHeight w:val="263"/>
        </w:trPr>
        <w:tc>
          <w:tcPr>
            <w:tcW w:w="1731" w:type="dxa"/>
            <w:tcBorders>
              <w:top w:val="nil"/>
              <w:left w:val="single" w:sz="4" w:space="0" w:color="auto"/>
              <w:bottom w:val="single" w:sz="4" w:space="0" w:color="auto"/>
              <w:right w:val="single" w:sz="4" w:space="0" w:color="auto"/>
            </w:tcBorders>
          </w:tcPr>
          <w:p w14:paraId="0270B0D1"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single" w:sz="4" w:space="0" w:color="auto"/>
              <w:right w:val="single" w:sz="4" w:space="0" w:color="auto"/>
            </w:tcBorders>
            <w:hideMark/>
          </w:tcPr>
          <w:p w14:paraId="383BF09B" w14:textId="77777777" w:rsidR="008F56BD" w:rsidRDefault="008F56BD">
            <w:pPr>
              <w:spacing w:line="276" w:lineRule="auto"/>
              <w:rPr>
                <w:rFonts w:eastAsia="Arial Unicode MS"/>
                <w:sz w:val="18"/>
                <w:szCs w:val="18"/>
              </w:rPr>
            </w:pPr>
            <w:r>
              <w:rPr>
                <w:sz w:val="18"/>
                <w:szCs w:val="18"/>
              </w:rPr>
              <w:t>Crustaceans (food-borne pathogens and extension of shelf-life)</w:t>
            </w:r>
          </w:p>
        </w:tc>
        <w:tc>
          <w:tcPr>
            <w:tcW w:w="1977" w:type="dxa"/>
            <w:tcBorders>
              <w:top w:val="dotted" w:sz="4" w:space="0" w:color="auto"/>
              <w:left w:val="single" w:sz="4" w:space="0" w:color="auto"/>
              <w:bottom w:val="single" w:sz="4" w:space="0" w:color="auto"/>
              <w:right w:val="single" w:sz="4" w:space="0" w:color="auto"/>
            </w:tcBorders>
            <w:hideMark/>
          </w:tcPr>
          <w:p w14:paraId="6E8A4A5E" w14:textId="77777777" w:rsidR="008F56BD" w:rsidRDefault="008F56BD">
            <w:pPr>
              <w:spacing w:line="276" w:lineRule="auto"/>
              <w:rPr>
                <w:rFonts w:eastAsia="Arial Unicode MS"/>
                <w:sz w:val="18"/>
                <w:szCs w:val="18"/>
              </w:rPr>
            </w:pPr>
            <w:r>
              <w:rPr>
                <w:rFonts w:eastAsia="Arial Unicode MS"/>
                <w:sz w:val="18"/>
                <w:szCs w:val="18"/>
              </w:rPr>
              <w:t>6.0</w:t>
            </w:r>
          </w:p>
        </w:tc>
      </w:tr>
      <w:tr w:rsidR="008F56BD" w14:paraId="2146EBB4" w14:textId="77777777" w:rsidTr="008F56BD">
        <w:trPr>
          <w:trHeight w:val="264"/>
        </w:trPr>
        <w:tc>
          <w:tcPr>
            <w:tcW w:w="1731" w:type="dxa"/>
            <w:tcBorders>
              <w:top w:val="single" w:sz="4" w:space="0" w:color="auto"/>
              <w:left w:val="single" w:sz="4" w:space="0" w:color="auto"/>
              <w:bottom w:val="nil"/>
              <w:right w:val="single" w:sz="4" w:space="0" w:color="auto"/>
            </w:tcBorders>
            <w:hideMark/>
          </w:tcPr>
          <w:p w14:paraId="0F54E9EF" w14:textId="77777777" w:rsidR="008F56BD" w:rsidRDefault="008F56BD">
            <w:pPr>
              <w:spacing w:line="276" w:lineRule="auto"/>
              <w:rPr>
                <w:rFonts w:eastAsia="Arial Unicode MS"/>
                <w:sz w:val="18"/>
                <w:szCs w:val="18"/>
              </w:rPr>
            </w:pPr>
            <w:r>
              <w:rPr>
                <w:rFonts w:eastAsia="Arial Unicode MS"/>
                <w:sz w:val="18"/>
                <w:szCs w:val="18"/>
              </w:rPr>
              <w:t>Thailand</w:t>
            </w:r>
          </w:p>
        </w:tc>
        <w:tc>
          <w:tcPr>
            <w:tcW w:w="5352" w:type="dxa"/>
            <w:tcBorders>
              <w:top w:val="single" w:sz="4" w:space="0" w:color="auto"/>
              <w:left w:val="single" w:sz="4" w:space="0" w:color="auto"/>
              <w:bottom w:val="dotted" w:sz="4" w:space="0" w:color="auto"/>
              <w:right w:val="single" w:sz="4" w:space="0" w:color="auto"/>
            </w:tcBorders>
            <w:hideMark/>
          </w:tcPr>
          <w:p w14:paraId="479F3D9B" w14:textId="77777777" w:rsidR="008F56BD" w:rsidRDefault="008F56BD">
            <w:pPr>
              <w:spacing w:line="276" w:lineRule="auto"/>
              <w:rPr>
                <w:sz w:val="18"/>
                <w:szCs w:val="18"/>
              </w:rPr>
            </w:pPr>
            <w:r>
              <w:rPr>
                <w:sz w:val="18"/>
                <w:szCs w:val="18"/>
              </w:rPr>
              <w:t>Roots and tubers (prevent germination)</w:t>
            </w:r>
          </w:p>
        </w:tc>
        <w:tc>
          <w:tcPr>
            <w:tcW w:w="1977" w:type="dxa"/>
            <w:tcBorders>
              <w:top w:val="single" w:sz="4" w:space="0" w:color="auto"/>
              <w:left w:val="single" w:sz="4" w:space="0" w:color="auto"/>
              <w:bottom w:val="dotted" w:sz="4" w:space="0" w:color="auto"/>
              <w:right w:val="single" w:sz="4" w:space="0" w:color="auto"/>
            </w:tcBorders>
            <w:hideMark/>
          </w:tcPr>
          <w:p w14:paraId="430B3D99" w14:textId="77777777" w:rsidR="008F56BD" w:rsidRDefault="008F56BD">
            <w:pPr>
              <w:spacing w:line="276" w:lineRule="auto"/>
              <w:rPr>
                <w:rFonts w:eastAsia="Arial Unicode MS"/>
                <w:sz w:val="18"/>
                <w:szCs w:val="18"/>
              </w:rPr>
            </w:pPr>
            <w:r>
              <w:rPr>
                <w:rFonts w:eastAsia="Arial Unicode MS"/>
                <w:sz w:val="18"/>
                <w:szCs w:val="18"/>
              </w:rPr>
              <w:t>1</w:t>
            </w:r>
          </w:p>
        </w:tc>
      </w:tr>
      <w:tr w:rsidR="008F56BD" w14:paraId="17E50AA0" w14:textId="77777777" w:rsidTr="008F56BD">
        <w:trPr>
          <w:trHeight w:val="264"/>
        </w:trPr>
        <w:tc>
          <w:tcPr>
            <w:tcW w:w="1731" w:type="dxa"/>
            <w:tcBorders>
              <w:top w:val="nil"/>
              <w:left w:val="single" w:sz="4" w:space="0" w:color="auto"/>
              <w:bottom w:val="nil"/>
              <w:right w:val="single" w:sz="4" w:space="0" w:color="auto"/>
            </w:tcBorders>
          </w:tcPr>
          <w:p w14:paraId="38CD190E"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2F46FE8F" w14:textId="77777777" w:rsidR="008F56BD" w:rsidRDefault="008F56BD">
            <w:pPr>
              <w:spacing w:line="276" w:lineRule="auto"/>
              <w:rPr>
                <w:sz w:val="18"/>
                <w:szCs w:val="18"/>
              </w:rPr>
            </w:pPr>
            <w:r>
              <w:rPr>
                <w:sz w:val="18"/>
                <w:szCs w:val="18"/>
              </w:rPr>
              <w:t>Slow down ripeness</w:t>
            </w:r>
          </w:p>
        </w:tc>
        <w:tc>
          <w:tcPr>
            <w:tcW w:w="1977" w:type="dxa"/>
            <w:tcBorders>
              <w:top w:val="dotted" w:sz="4" w:space="0" w:color="auto"/>
              <w:left w:val="single" w:sz="4" w:space="0" w:color="auto"/>
              <w:bottom w:val="dotted" w:sz="4" w:space="0" w:color="auto"/>
              <w:right w:val="single" w:sz="4" w:space="0" w:color="auto"/>
            </w:tcBorders>
            <w:hideMark/>
          </w:tcPr>
          <w:p w14:paraId="51A090EF" w14:textId="77777777" w:rsidR="008F56BD" w:rsidRDefault="008F56BD">
            <w:pPr>
              <w:spacing w:line="276" w:lineRule="auto"/>
              <w:rPr>
                <w:rFonts w:eastAsia="Arial Unicode MS"/>
                <w:sz w:val="18"/>
                <w:szCs w:val="18"/>
              </w:rPr>
            </w:pPr>
            <w:r>
              <w:rPr>
                <w:rFonts w:eastAsia="Arial Unicode MS"/>
                <w:sz w:val="18"/>
                <w:szCs w:val="18"/>
              </w:rPr>
              <w:t>2</w:t>
            </w:r>
          </w:p>
        </w:tc>
      </w:tr>
      <w:tr w:rsidR="008F56BD" w14:paraId="61328B15" w14:textId="77777777" w:rsidTr="008F56BD">
        <w:trPr>
          <w:trHeight w:val="264"/>
        </w:trPr>
        <w:tc>
          <w:tcPr>
            <w:tcW w:w="1731" w:type="dxa"/>
            <w:tcBorders>
              <w:top w:val="nil"/>
              <w:left w:val="single" w:sz="4" w:space="0" w:color="auto"/>
              <w:bottom w:val="nil"/>
              <w:right w:val="single" w:sz="4" w:space="0" w:color="auto"/>
            </w:tcBorders>
          </w:tcPr>
          <w:p w14:paraId="48D561E2"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3D18F910" w14:textId="77777777" w:rsidR="008F56BD" w:rsidRPr="004F742E" w:rsidRDefault="008F56BD">
            <w:pPr>
              <w:spacing w:line="276" w:lineRule="auto"/>
              <w:rPr>
                <w:sz w:val="18"/>
                <w:szCs w:val="18"/>
              </w:rPr>
            </w:pPr>
            <w:r w:rsidRPr="004F742E">
              <w:rPr>
                <w:sz w:val="18"/>
                <w:szCs w:val="18"/>
              </w:rPr>
              <w:t>Control insect disinfestation</w:t>
            </w:r>
          </w:p>
        </w:tc>
        <w:tc>
          <w:tcPr>
            <w:tcW w:w="1977" w:type="dxa"/>
            <w:tcBorders>
              <w:top w:val="dotted" w:sz="4" w:space="0" w:color="auto"/>
              <w:left w:val="single" w:sz="4" w:space="0" w:color="auto"/>
              <w:bottom w:val="dotted" w:sz="4" w:space="0" w:color="auto"/>
              <w:right w:val="single" w:sz="4" w:space="0" w:color="auto"/>
            </w:tcBorders>
            <w:hideMark/>
          </w:tcPr>
          <w:p w14:paraId="0217AC1D" w14:textId="77777777" w:rsidR="008F56BD" w:rsidRDefault="008F56BD">
            <w:pPr>
              <w:spacing w:line="276" w:lineRule="auto"/>
              <w:rPr>
                <w:rFonts w:eastAsia="Arial Unicode MS"/>
                <w:sz w:val="18"/>
                <w:szCs w:val="18"/>
              </w:rPr>
            </w:pPr>
            <w:r>
              <w:rPr>
                <w:rFonts w:eastAsia="Arial Unicode MS"/>
                <w:sz w:val="18"/>
                <w:szCs w:val="18"/>
              </w:rPr>
              <w:t>2</w:t>
            </w:r>
          </w:p>
        </w:tc>
      </w:tr>
      <w:tr w:rsidR="008F56BD" w14:paraId="6764E894" w14:textId="77777777" w:rsidTr="008F56BD">
        <w:trPr>
          <w:trHeight w:val="264"/>
        </w:trPr>
        <w:tc>
          <w:tcPr>
            <w:tcW w:w="1731" w:type="dxa"/>
            <w:tcBorders>
              <w:top w:val="nil"/>
              <w:left w:val="single" w:sz="4" w:space="0" w:color="auto"/>
              <w:bottom w:val="nil"/>
              <w:right w:val="single" w:sz="4" w:space="0" w:color="auto"/>
            </w:tcBorders>
          </w:tcPr>
          <w:p w14:paraId="6B0E8776"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276F9AC0" w14:textId="77777777" w:rsidR="008F56BD" w:rsidRDefault="008F56BD">
            <w:pPr>
              <w:spacing w:line="276" w:lineRule="auto"/>
              <w:rPr>
                <w:sz w:val="18"/>
                <w:szCs w:val="18"/>
              </w:rPr>
            </w:pPr>
            <w:r>
              <w:rPr>
                <w:sz w:val="18"/>
                <w:szCs w:val="18"/>
              </w:rPr>
              <w:t>Decrease amount of parasites</w:t>
            </w:r>
          </w:p>
        </w:tc>
        <w:tc>
          <w:tcPr>
            <w:tcW w:w="1977" w:type="dxa"/>
            <w:tcBorders>
              <w:top w:val="dotted" w:sz="4" w:space="0" w:color="auto"/>
              <w:left w:val="single" w:sz="4" w:space="0" w:color="auto"/>
              <w:bottom w:val="dotted" w:sz="4" w:space="0" w:color="auto"/>
              <w:right w:val="single" w:sz="4" w:space="0" w:color="auto"/>
            </w:tcBorders>
            <w:hideMark/>
          </w:tcPr>
          <w:p w14:paraId="7F908C57" w14:textId="77777777" w:rsidR="008F56BD" w:rsidRDefault="008F56BD">
            <w:pPr>
              <w:spacing w:line="276" w:lineRule="auto"/>
              <w:rPr>
                <w:rFonts w:eastAsia="Arial Unicode MS"/>
                <w:sz w:val="18"/>
                <w:szCs w:val="18"/>
              </w:rPr>
            </w:pPr>
            <w:r>
              <w:rPr>
                <w:rFonts w:eastAsia="Arial Unicode MS"/>
                <w:sz w:val="18"/>
                <w:szCs w:val="18"/>
              </w:rPr>
              <w:t>4</w:t>
            </w:r>
          </w:p>
        </w:tc>
      </w:tr>
      <w:tr w:rsidR="008F56BD" w14:paraId="20C9566D" w14:textId="77777777" w:rsidTr="008F56BD">
        <w:trPr>
          <w:trHeight w:val="264"/>
        </w:trPr>
        <w:tc>
          <w:tcPr>
            <w:tcW w:w="1731" w:type="dxa"/>
            <w:tcBorders>
              <w:top w:val="nil"/>
              <w:left w:val="single" w:sz="4" w:space="0" w:color="auto"/>
              <w:bottom w:val="nil"/>
              <w:right w:val="single" w:sz="4" w:space="0" w:color="auto"/>
            </w:tcBorders>
          </w:tcPr>
          <w:p w14:paraId="253B6317"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72551D5A" w14:textId="77777777" w:rsidR="008F56BD" w:rsidRDefault="008F56BD">
            <w:pPr>
              <w:spacing w:line="276" w:lineRule="auto"/>
              <w:rPr>
                <w:sz w:val="18"/>
                <w:szCs w:val="18"/>
              </w:rPr>
            </w:pPr>
            <w:r>
              <w:rPr>
                <w:sz w:val="18"/>
                <w:szCs w:val="18"/>
              </w:rPr>
              <w:t xml:space="preserve">Prolong shelf life </w:t>
            </w:r>
          </w:p>
        </w:tc>
        <w:tc>
          <w:tcPr>
            <w:tcW w:w="1977" w:type="dxa"/>
            <w:tcBorders>
              <w:top w:val="dotted" w:sz="4" w:space="0" w:color="auto"/>
              <w:left w:val="single" w:sz="4" w:space="0" w:color="auto"/>
              <w:bottom w:val="dotted" w:sz="4" w:space="0" w:color="auto"/>
              <w:right w:val="single" w:sz="4" w:space="0" w:color="auto"/>
            </w:tcBorders>
            <w:hideMark/>
          </w:tcPr>
          <w:p w14:paraId="46540825" w14:textId="77777777" w:rsidR="008F56BD" w:rsidRDefault="008F56BD">
            <w:pPr>
              <w:spacing w:line="276" w:lineRule="auto"/>
              <w:rPr>
                <w:rFonts w:eastAsia="Arial Unicode MS"/>
                <w:sz w:val="18"/>
                <w:szCs w:val="18"/>
              </w:rPr>
            </w:pPr>
            <w:r>
              <w:rPr>
                <w:rFonts w:eastAsia="Arial Unicode MS"/>
                <w:sz w:val="18"/>
                <w:szCs w:val="18"/>
              </w:rPr>
              <w:t>7</w:t>
            </w:r>
          </w:p>
        </w:tc>
      </w:tr>
      <w:tr w:rsidR="008F56BD" w14:paraId="186B0180" w14:textId="77777777" w:rsidTr="008F56BD">
        <w:trPr>
          <w:trHeight w:val="264"/>
        </w:trPr>
        <w:tc>
          <w:tcPr>
            <w:tcW w:w="1731" w:type="dxa"/>
            <w:tcBorders>
              <w:top w:val="nil"/>
              <w:left w:val="single" w:sz="4" w:space="0" w:color="auto"/>
              <w:bottom w:val="single" w:sz="4" w:space="0" w:color="auto"/>
              <w:right w:val="single" w:sz="4" w:space="0" w:color="auto"/>
            </w:tcBorders>
          </w:tcPr>
          <w:p w14:paraId="6705450C"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single" w:sz="4" w:space="0" w:color="auto"/>
              <w:right w:val="single" w:sz="4" w:space="0" w:color="auto"/>
            </w:tcBorders>
            <w:hideMark/>
          </w:tcPr>
          <w:p w14:paraId="5036D911" w14:textId="77777777" w:rsidR="008F56BD" w:rsidRDefault="008F56BD">
            <w:pPr>
              <w:spacing w:line="276" w:lineRule="auto"/>
              <w:rPr>
                <w:sz w:val="18"/>
                <w:szCs w:val="18"/>
              </w:rPr>
            </w:pPr>
            <w:r>
              <w:rPr>
                <w:sz w:val="18"/>
                <w:szCs w:val="18"/>
              </w:rPr>
              <w:t xml:space="preserve">Decrease amount of microorganisms and pathogens </w:t>
            </w:r>
          </w:p>
        </w:tc>
        <w:tc>
          <w:tcPr>
            <w:tcW w:w="1977" w:type="dxa"/>
            <w:tcBorders>
              <w:top w:val="dotted" w:sz="4" w:space="0" w:color="auto"/>
              <w:left w:val="single" w:sz="4" w:space="0" w:color="auto"/>
              <w:bottom w:val="single" w:sz="4" w:space="0" w:color="auto"/>
              <w:right w:val="single" w:sz="4" w:space="0" w:color="auto"/>
            </w:tcBorders>
            <w:hideMark/>
          </w:tcPr>
          <w:p w14:paraId="633236BE" w14:textId="77777777" w:rsidR="008F56BD" w:rsidRDefault="008F56BD">
            <w:pPr>
              <w:spacing w:line="276" w:lineRule="auto"/>
              <w:rPr>
                <w:rFonts w:eastAsia="Arial Unicode MS"/>
                <w:sz w:val="18"/>
                <w:szCs w:val="18"/>
              </w:rPr>
            </w:pPr>
            <w:r>
              <w:rPr>
                <w:rFonts w:eastAsia="Arial Unicode MS"/>
                <w:sz w:val="18"/>
                <w:szCs w:val="18"/>
              </w:rPr>
              <w:t>10</w:t>
            </w:r>
          </w:p>
        </w:tc>
      </w:tr>
      <w:tr w:rsidR="008F56BD" w14:paraId="1826A20B" w14:textId="77777777" w:rsidTr="008F56BD">
        <w:trPr>
          <w:trHeight w:val="262"/>
        </w:trPr>
        <w:tc>
          <w:tcPr>
            <w:tcW w:w="1731" w:type="dxa"/>
            <w:tcBorders>
              <w:top w:val="single" w:sz="4" w:space="0" w:color="auto"/>
              <w:left w:val="single" w:sz="4" w:space="0" w:color="auto"/>
              <w:bottom w:val="nil"/>
              <w:right w:val="single" w:sz="4" w:space="0" w:color="auto"/>
            </w:tcBorders>
            <w:hideMark/>
          </w:tcPr>
          <w:p w14:paraId="5C25433F" w14:textId="77777777" w:rsidR="008F56BD" w:rsidRDefault="008F56BD">
            <w:pPr>
              <w:spacing w:line="276" w:lineRule="auto"/>
              <w:rPr>
                <w:rFonts w:eastAsia="Arial Unicode MS"/>
                <w:sz w:val="18"/>
                <w:szCs w:val="18"/>
              </w:rPr>
            </w:pPr>
            <w:r>
              <w:rPr>
                <w:rFonts w:eastAsia="Arial Unicode MS"/>
                <w:sz w:val="18"/>
                <w:szCs w:val="18"/>
              </w:rPr>
              <w:t>Philippines</w:t>
            </w:r>
          </w:p>
        </w:tc>
        <w:tc>
          <w:tcPr>
            <w:tcW w:w="5352" w:type="dxa"/>
            <w:tcBorders>
              <w:top w:val="single" w:sz="4" w:space="0" w:color="auto"/>
              <w:left w:val="single" w:sz="4" w:space="0" w:color="auto"/>
              <w:bottom w:val="dotted" w:sz="4" w:space="0" w:color="auto"/>
              <w:right w:val="single" w:sz="4" w:space="0" w:color="auto"/>
            </w:tcBorders>
            <w:hideMark/>
          </w:tcPr>
          <w:p w14:paraId="1C91A720" w14:textId="77777777" w:rsidR="008F56BD" w:rsidRDefault="008F56BD">
            <w:pPr>
              <w:spacing w:line="276" w:lineRule="auto"/>
              <w:ind w:left="113" w:hanging="113"/>
              <w:rPr>
                <w:sz w:val="18"/>
                <w:szCs w:val="18"/>
              </w:rPr>
            </w:pPr>
            <w:r>
              <w:rPr>
                <w:sz w:val="18"/>
                <w:szCs w:val="18"/>
              </w:rPr>
              <w:t>Mangoes for disinfestation</w:t>
            </w:r>
          </w:p>
        </w:tc>
        <w:tc>
          <w:tcPr>
            <w:tcW w:w="1977" w:type="dxa"/>
            <w:tcBorders>
              <w:top w:val="single" w:sz="4" w:space="0" w:color="auto"/>
              <w:left w:val="single" w:sz="4" w:space="0" w:color="auto"/>
              <w:bottom w:val="dotted" w:sz="4" w:space="0" w:color="auto"/>
              <w:right w:val="single" w:sz="4" w:space="0" w:color="auto"/>
            </w:tcBorders>
            <w:hideMark/>
          </w:tcPr>
          <w:p w14:paraId="1AC524EF" w14:textId="77777777" w:rsidR="008F56BD" w:rsidRDefault="008F56BD">
            <w:pPr>
              <w:spacing w:line="276" w:lineRule="auto"/>
              <w:rPr>
                <w:rFonts w:eastAsia="Arial Unicode MS"/>
                <w:sz w:val="18"/>
                <w:szCs w:val="18"/>
              </w:rPr>
            </w:pPr>
            <w:r>
              <w:rPr>
                <w:rFonts w:eastAsia="Arial Unicode MS"/>
                <w:sz w:val="18"/>
                <w:szCs w:val="18"/>
              </w:rPr>
              <w:t xml:space="preserve">1 </w:t>
            </w:r>
          </w:p>
        </w:tc>
      </w:tr>
      <w:tr w:rsidR="008F56BD" w14:paraId="24EAFEAF" w14:textId="77777777" w:rsidTr="008F56BD">
        <w:trPr>
          <w:trHeight w:val="262"/>
        </w:trPr>
        <w:tc>
          <w:tcPr>
            <w:tcW w:w="1731" w:type="dxa"/>
            <w:tcBorders>
              <w:top w:val="nil"/>
              <w:left w:val="single" w:sz="4" w:space="0" w:color="auto"/>
              <w:bottom w:val="nil"/>
              <w:right w:val="single" w:sz="4" w:space="0" w:color="auto"/>
            </w:tcBorders>
          </w:tcPr>
          <w:p w14:paraId="1D2342D6"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6CC7C01D" w14:textId="77777777" w:rsidR="008F56BD" w:rsidRDefault="008F56BD">
            <w:pPr>
              <w:spacing w:line="276" w:lineRule="auto"/>
              <w:ind w:left="113" w:hanging="113"/>
              <w:rPr>
                <w:sz w:val="18"/>
                <w:szCs w:val="18"/>
              </w:rPr>
            </w:pPr>
            <w:r>
              <w:rPr>
                <w:sz w:val="18"/>
                <w:szCs w:val="18"/>
              </w:rPr>
              <w:t>Onions for sprout inhibition</w:t>
            </w:r>
          </w:p>
        </w:tc>
        <w:tc>
          <w:tcPr>
            <w:tcW w:w="1977" w:type="dxa"/>
            <w:tcBorders>
              <w:top w:val="dotted" w:sz="4" w:space="0" w:color="auto"/>
              <w:left w:val="single" w:sz="4" w:space="0" w:color="auto"/>
              <w:bottom w:val="dotted" w:sz="4" w:space="0" w:color="auto"/>
              <w:right w:val="single" w:sz="4" w:space="0" w:color="auto"/>
            </w:tcBorders>
            <w:hideMark/>
          </w:tcPr>
          <w:p w14:paraId="46221777" w14:textId="77777777" w:rsidR="008F56BD" w:rsidRDefault="008F56BD">
            <w:pPr>
              <w:spacing w:line="276" w:lineRule="auto"/>
              <w:rPr>
                <w:rFonts w:eastAsia="Arial Unicode MS"/>
                <w:sz w:val="18"/>
                <w:szCs w:val="18"/>
              </w:rPr>
            </w:pPr>
            <w:r>
              <w:rPr>
                <w:rFonts w:eastAsia="Arial Unicode MS"/>
                <w:sz w:val="18"/>
                <w:szCs w:val="18"/>
              </w:rPr>
              <w:t>0.3 to 1</w:t>
            </w:r>
          </w:p>
        </w:tc>
      </w:tr>
      <w:tr w:rsidR="008F56BD" w14:paraId="6104E54E" w14:textId="77777777" w:rsidTr="008F56BD">
        <w:trPr>
          <w:trHeight w:val="262"/>
        </w:trPr>
        <w:tc>
          <w:tcPr>
            <w:tcW w:w="1731" w:type="dxa"/>
            <w:tcBorders>
              <w:top w:val="nil"/>
              <w:left w:val="single" w:sz="4" w:space="0" w:color="auto"/>
              <w:bottom w:val="single" w:sz="4" w:space="0" w:color="auto"/>
              <w:right w:val="single" w:sz="4" w:space="0" w:color="auto"/>
            </w:tcBorders>
          </w:tcPr>
          <w:p w14:paraId="663939DE"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single" w:sz="4" w:space="0" w:color="auto"/>
              <w:right w:val="single" w:sz="4" w:space="0" w:color="auto"/>
            </w:tcBorders>
            <w:hideMark/>
          </w:tcPr>
          <w:p w14:paraId="3C6DDFA0" w14:textId="77777777" w:rsidR="008F56BD" w:rsidRDefault="008F56BD">
            <w:pPr>
              <w:spacing w:line="276" w:lineRule="auto"/>
              <w:ind w:left="113" w:hanging="113"/>
              <w:rPr>
                <w:sz w:val="18"/>
                <w:szCs w:val="18"/>
              </w:rPr>
            </w:pPr>
            <w:r>
              <w:rPr>
                <w:sz w:val="18"/>
                <w:szCs w:val="18"/>
              </w:rPr>
              <w:t>Garlic for disinfestation</w:t>
            </w:r>
          </w:p>
        </w:tc>
        <w:tc>
          <w:tcPr>
            <w:tcW w:w="1977" w:type="dxa"/>
            <w:tcBorders>
              <w:top w:val="dotted" w:sz="4" w:space="0" w:color="auto"/>
              <w:left w:val="single" w:sz="4" w:space="0" w:color="auto"/>
              <w:bottom w:val="single" w:sz="4" w:space="0" w:color="auto"/>
              <w:right w:val="single" w:sz="4" w:space="0" w:color="auto"/>
            </w:tcBorders>
            <w:hideMark/>
          </w:tcPr>
          <w:p w14:paraId="5E28DF21" w14:textId="77777777" w:rsidR="008F56BD" w:rsidRDefault="008F56BD">
            <w:pPr>
              <w:spacing w:line="276" w:lineRule="auto"/>
              <w:rPr>
                <w:rFonts w:eastAsia="Arial Unicode MS"/>
                <w:sz w:val="18"/>
                <w:szCs w:val="18"/>
              </w:rPr>
            </w:pPr>
            <w:r>
              <w:rPr>
                <w:rFonts w:eastAsia="Arial Unicode MS"/>
                <w:sz w:val="18"/>
                <w:szCs w:val="18"/>
              </w:rPr>
              <w:t>0.3 to 1</w:t>
            </w:r>
          </w:p>
        </w:tc>
      </w:tr>
      <w:tr w:rsidR="008F56BD" w14:paraId="2D74D87A" w14:textId="77777777" w:rsidTr="008F56BD">
        <w:trPr>
          <w:trHeight w:val="264"/>
        </w:trPr>
        <w:tc>
          <w:tcPr>
            <w:tcW w:w="1731" w:type="dxa"/>
            <w:tcBorders>
              <w:top w:val="single" w:sz="4" w:space="0" w:color="auto"/>
              <w:left w:val="single" w:sz="4" w:space="0" w:color="auto"/>
              <w:bottom w:val="nil"/>
              <w:right w:val="single" w:sz="4" w:space="0" w:color="auto"/>
            </w:tcBorders>
            <w:hideMark/>
          </w:tcPr>
          <w:p w14:paraId="13DDC5E5" w14:textId="77777777" w:rsidR="008F56BD" w:rsidRDefault="008F56BD">
            <w:pPr>
              <w:spacing w:line="276" w:lineRule="auto"/>
              <w:rPr>
                <w:rFonts w:eastAsia="Arial Unicode MS"/>
                <w:sz w:val="18"/>
                <w:szCs w:val="18"/>
              </w:rPr>
            </w:pPr>
            <w:r>
              <w:rPr>
                <w:rFonts w:eastAsia="Arial Unicode MS"/>
                <w:sz w:val="18"/>
                <w:szCs w:val="18"/>
              </w:rPr>
              <w:t>Vietnam</w:t>
            </w:r>
          </w:p>
        </w:tc>
        <w:tc>
          <w:tcPr>
            <w:tcW w:w="5352" w:type="dxa"/>
            <w:tcBorders>
              <w:top w:val="single" w:sz="4" w:space="0" w:color="auto"/>
              <w:left w:val="single" w:sz="4" w:space="0" w:color="auto"/>
              <w:bottom w:val="nil"/>
              <w:right w:val="single" w:sz="4" w:space="0" w:color="auto"/>
            </w:tcBorders>
            <w:hideMark/>
          </w:tcPr>
          <w:p w14:paraId="3DFD8C87" w14:textId="77777777" w:rsidR="008F56BD" w:rsidRPr="004F742E" w:rsidRDefault="008F56BD">
            <w:pPr>
              <w:spacing w:line="276" w:lineRule="auto"/>
              <w:ind w:left="113" w:hanging="113"/>
              <w:rPr>
                <w:sz w:val="18"/>
                <w:szCs w:val="18"/>
              </w:rPr>
            </w:pPr>
            <w:r w:rsidRPr="004F742E">
              <w:rPr>
                <w:sz w:val="18"/>
                <w:szCs w:val="18"/>
              </w:rPr>
              <w:t xml:space="preserve">Fresh fruit and vegetables (delay ripening, pest control, </w:t>
            </w:r>
          </w:p>
        </w:tc>
        <w:tc>
          <w:tcPr>
            <w:tcW w:w="1977" w:type="dxa"/>
            <w:tcBorders>
              <w:top w:val="single" w:sz="4" w:space="0" w:color="auto"/>
              <w:left w:val="single" w:sz="4" w:space="0" w:color="auto"/>
              <w:bottom w:val="nil"/>
              <w:right w:val="single" w:sz="4" w:space="0" w:color="auto"/>
            </w:tcBorders>
            <w:hideMark/>
          </w:tcPr>
          <w:p w14:paraId="4304E292" w14:textId="77777777" w:rsidR="008F56BD" w:rsidRDefault="008F56BD">
            <w:pPr>
              <w:spacing w:line="276" w:lineRule="auto"/>
              <w:rPr>
                <w:rFonts w:eastAsia="Arial Unicode MS"/>
                <w:sz w:val="18"/>
                <w:szCs w:val="18"/>
              </w:rPr>
            </w:pPr>
            <w:r>
              <w:rPr>
                <w:rFonts w:eastAsia="Arial Unicode MS"/>
                <w:sz w:val="18"/>
                <w:szCs w:val="18"/>
              </w:rPr>
              <w:t>0.2 to 2.5</w:t>
            </w:r>
          </w:p>
        </w:tc>
      </w:tr>
      <w:tr w:rsidR="008F56BD" w14:paraId="2127E2F9" w14:textId="77777777" w:rsidTr="008F56BD">
        <w:trPr>
          <w:trHeight w:val="264"/>
        </w:trPr>
        <w:tc>
          <w:tcPr>
            <w:tcW w:w="1731" w:type="dxa"/>
            <w:tcBorders>
              <w:top w:val="nil"/>
              <w:left w:val="single" w:sz="4" w:space="0" w:color="auto"/>
              <w:bottom w:val="nil"/>
              <w:right w:val="single" w:sz="4" w:space="0" w:color="auto"/>
            </w:tcBorders>
          </w:tcPr>
          <w:p w14:paraId="76A18733"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2DCCA94A" w14:textId="77777777" w:rsidR="008F56BD" w:rsidRDefault="008F56BD">
            <w:pPr>
              <w:spacing w:line="276" w:lineRule="auto"/>
              <w:ind w:left="113" w:hanging="113"/>
              <w:rPr>
                <w:b/>
                <w:sz w:val="18"/>
                <w:szCs w:val="18"/>
              </w:rPr>
            </w:pPr>
            <w:r>
              <w:rPr>
                <w:sz w:val="18"/>
                <w:szCs w:val="18"/>
              </w:rPr>
              <w:t>extend preservation)</w:t>
            </w:r>
          </w:p>
        </w:tc>
        <w:tc>
          <w:tcPr>
            <w:tcW w:w="1977" w:type="dxa"/>
            <w:tcBorders>
              <w:top w:val="nil"/>
              <w:left w:val="single" w:sz="4" w:space="0" w:color="auto"/>
              <w:bottom w:val="dotted" w:sz="4" w:space="0" w:color="auto"/>
              <w:right w:val="single" w:sz="4" w:space="0" w:color="auto"/>
            </w:tcBorders>
          </w:tcPr>
          <w:p w14:paraId="1F8735CE" w14:textId="77777777" w:rsidR="008F56BD" w:rsidRDefault="008F56BD">
            <w:pPr>
              <w:spacing w:line="276" w:lineRule="auto"/>
              <w:rPr>
                <w:rFonts w:eastAsia="Arial Unicode MS"/>
                <w:sz w:val="18"/>
                <w:szCs w:val="18"/>
              </w:rPr>
            </w:pPr>
          </w:p>
        </w:tc>
      </w:tr>
      <w:tr w:rsidR="008F56BD" w14:paraId="332CD722" w14:textId="77777777" w:rsidTr="008F56BD">
        <w:trPr>
          <w:trHeight w:val="264"/>
        </w:trPr>
        <w:tc>
          <w:tcPr>
            <w:tcW w:w="1731" w:type="dxa"/>
            <w:tcBorders>
              <w:top w:val="nil"/>
              <w:left w:val="single" w:sz="4" w:space="0" w:color="auto"/>
              <w:bottom w:val="nil"/>
              <w:right w:val="single" w:sz="4" w:space="0" w:color="auto"/>
            </w:tcBorders>
          </w:tcPr>
          <w:p w14:paraId="123B3AB5"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0547F9D7" w14:textId="77777777" w:rsidR="008F56BD" w:rsidRDefault="008F56BD">
            <w:pPr>
              <w:spacing w:line="276" w:lineRule="auto"/>
              <w:ind w:left="113" w:hanging="113"/>
              <w:rPr>
                <w:b/>
                <w:sz w:val="18"/>
                <w:szCs w:val="18"/>
              </w:rPr>
            </w:pPr>
            <w:r>
              <w:rPr>
                <w:sz w:val="18"/>
                <w:szCs w:val="18"/>
              </w:rPr>
              <w:t xml:space="preserve">Cereals, beans, seeds, dried fruit (exterminate insects and </w:t>
            </w:r>
          </w:p>
        </w:tc>
        <w:tc>
          <w:tcPr>
            <w:tcW w:w="1977" w:type="dxa"/>
            <w:tcBorders>
              <w:top w:val="dotted" w:sz="4" w:space="0" w:color="auto"/>
              <w:left w:val="single" w:sz="4" w:space="0" w:color="auto"/>
              <w:bottom w:val="nil"/>
              <w:right w:val="single" w:sz="4" w:space="0" w:color="auto"/>
            </w:tcBorders>
            <w:hideMark/>
          </w:tcPr>
          <w:p w14:paraId="3548568B" w14:textId="77777777" w:rsidR="008F56BD" w:rsidRDefault="008F56BD">
            <w:pPr>
              <w:spacing w:line="276" w:lineRule="auto"/>
              <w:rPr>
                <w:rFonts w:eastAsia="Arial Unicode MS"/>
                <w:sz w:val="18"/>
                <w:szCs w:val="18"/>
              </w:rPr>
            </w:pPr>
            <w:r>
              <w:rPr>
                <w:rFonts w:eastAsia="Arial Unicode MS"/>
                <w:sz w:val="18"/>
                <w:szCs w:val="18"/>
              </w:rPr>
              <w:t xml:space="preserve">0.1 to 5.0 </w:t>
            </w:r>
          </w:p>
        </w:tc>
      </w:tr>
      <w:tr w:rsidR="008F56BD" w14:paraId="6D09C57B" w14:textId="77777777" w:rsidTr="008F56BD">
        <w:trPr>
          <w:trHeight w:val="264"/>
        </w:trPr>
        <w:tc>
          <w:tcPr>
            <w:tcW w:w="1731" w:type="dxa"/>
            <w:tcBorders>
              <w:top w:val="nil"/>
              <w:left w:val="single" w:sz="4" w:space="0" w:color="auto"/>
              <w:bottom w:val="nil"/>
              <w:right w:val="single" w:sz="4" w:space="0" w:color="auto"/>
            </w:tcBorders>
          </w:tcPr>
          <w:p w14:paraId="5A45F583"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48E88B57" w14:textId="77777777" w:rsidR="008F56BD" w:rsidRDefault="008F56BD">
            <w:pPr>
              <w:spacing w:line="276" w:lineRule="auto"/>
              <w:ind w:left="113" w:hanging="113"/>
              <w:rPr>
                <w:b/>
                <w:sz w:val="18"/>
                <w:szCs w:val="18"/>
              </w:rPr>
            </w:pPr>
            <w:r>
              <w:rPr>
                <w:sz w:val="18"/>
                <w:szCs w:val="18"/>
              </w:rPr>
              <w:t>parasites, minimise bacteria, inhibit germination)</w:t>
            </w:r>
          </w:p>
        </w:tc>
        <w:tc>
          <w:tcPr>
            <w:tcW w:w="1977" w:type="dxa"/>
            <w:tcBorders>
              <w:top w:val="nil"/>
              <w:left w:val="single" w:sz="4" w:space="0" w:color="auto"/>
              <w:bottom w:val="dotted" w:sz="4" w:space="0" w:color="auto"/>
              <w:right w:val="single" w:sz="4" w:space="0" w:color="auto"/>
            </w:tcBorders>
          </w:tcPr>
          <w:p w14:paraId="1C365FE6" w14:textId="77777777" w:rsidR="008F56BD" w:rsidRDefault="008F56BD">
            <w:pPr>
              <w:spacing w:line="276" w:lineRule="auto"/>
              <w:rPr>
                <w:rFonts w:eastAsia="Arial Unicode MS"/>
                <w:sz w:val="18"/>
                <w:szCs w:val="18"/>
              </w:rPr>
            </w:pPr>
          </w:p>
        </w:tc>
      </w:tr>
      <w:tr w:rsidR="008F56BD" w14:paraId="182E57C5" w14:textId="77777777" w:rsidTr="008F56BD">
        <w:trPr>
          <w:trHeight w:val="264"/>
        </w:trPr>
        <w:tc>
          <w:tcPr>
            <w:tcW w:w="1731" w:type="dxa"/>
            <w:tcBorders>
              <w:top w:val="nil"/>
              <w:left w:val="single" w:sz="4" w:space="0" w:color="auto"/>
              <w:bottom w:val="nil"/>
              <w:right w:val="single" w:sz="4" w:space="0" w:color="auto"/>
            </w:tcBorders>
          </w:tcPr>
          <w:p w14:paraId="2AE9F21A"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6BF99101" w14:textId="77777777" w:rsidR="008F56BD" w:rsidRDefault="008F56BD">
            <w:pPr>
              <w:spacing w:line="276" w:lineRule="auto"/>
              <w:ind w:left="113" w:hanging="113"/>
              <w:rPr>
                <w:b/>
                <w:sz w:val="18"/>
                <w:szCs w:val="18"/>
              </w:rPr>
            </w:pPr>
            <w:r>
              <w:rPr>
                <w:sz w:val="18"/>
                <w:szCs w:val="18"/>
              </w:rPr>
              <w:t xml:space="preserve">Aquatic animals (reduce pathogens, extend preservation, </w:t>
            </w:r>
          </w:p>
        </w:tc>
        <w:tc>
          <w:tcPr>
            <w:tcW w:w="1977" w:type="dxa"/>
            <w:tcBorders>
              <w:top w:val="dotted" w:sz="4" w:space="0" w:color="auto"/>
              <w:left w:val="single" w:sz="4" w:space="0" w:color="auto"/>
              <w:bottom w:val="nil"/>
              <w:right w:val="single" w:sz="4" w:space="0" w:color="auto"/>
            </w:tcBorders>
            <w:hideMark/>
          </w:tcPr>
          <w:p w14:paraId="603CD117" w14:textId="77777777" w:rsidR="008F56BD" w:rsidRDefault="008F56BD">
            <w:pPr>
              <w:spacing w:line="276" w:lineRule="auto"/>
              <w:rPr>
                <w:rFonts w:eastAsia="Arial Unicode MS"/>
                <w:sz w:val="18"/>
                <w:szCs w:val="18"/>
              </w:rPr>
            </w:pPr>
            <w:r>
              <w:rPr>
                <w:rFonts w:eastAsia="Arial Unicode MS"/>
                <w:sz w:val="18"/>
                <w:szCs w:val="18"/>
              </w:rPr>
              <w:t xml:space="preserve">0.1 to 7.0 </w:t>
            </w:r>
          </w:p>
        </w:tc>
      </w:tr>
      <w:tr w:rsidR="008F56BD" w14:paraId="76AB5D11" w14:textId="77777777" w:rsidTr="008F56BD">
        <w:trPr>
          <w:trHeight w:val="264"/>
        </w:trPr>
        <w:tc>
          <w:tcPr>
            <w:tcW w:w="1731" w:type="dxa"/>
            <w:tcBorders>
              <w:top w:val="nil"/>
              <w:left w:val="single" w:sz="4" w:space="0" w:color="auto"/>
              <w:bottom w:val="nil"/>
              <w:right w:val="single" w:sz="4" w:space="0" w:color="auto"/>
            </w:tcBorders>
          </w:tcPr>
          <w:p w14:paraId="44E9D012"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58E02285" w14:textId="77777777" w:rsidR="008F56BD" w:rsidRDefault="008F56BD">
            <w:pPr>
              <w:spacing w:line="276" w:lineRule="auto"/>
              <w:ind w:left="113" w:hanging="113"/>
              <w:rPr>
                <w:b/>
                <w:sz w:val="18"/>
                <w:szCs w:val="18"/>
              </w:rPr>
            </w:pPr>
            <w:r>
              <w:rPr>
                <w:sz w:val="18"/>
                <w:szCs w:val="18"/>
              </w:rPr>
              <w:t>control parasites)</w:t>
            </w:r>
          </w:p>
        </w:tc>
        <w:tc>
          <w:tcPr>
            <w:tcW w:w="1977" w:type="dxa"/>
            <w:tcBorders>
              <w:top w:val="nil"/>
              <w:left w:val="single" w:sz="4" w:space="0" w:color="auto"/>
              <w:bottom w:val="dotted" w:sz="4" w:space="0" w:color="auto"/>
              <w:right w:val="single" w:sz="4" w:space="0" w:color="auto"/>
            </w:tcBorders>
          </w:tcPr>
          <w:p w14:paraId="29993C4F" w14:textId="77777777" w:rsidR="008F56BD" w:rsidRDefault="008F56BD">
            <w:pPr>
              <w:spacing w:line="276" w:lineRule="auto"/>
              <w:rPr>
                <w:rFonts w:eastAsia="Arial Unicode MS"/>
                <w:sz w:val="18"/>
                <w:szCs w:val="18"/>
              </w:rPr>
            </w:pPr>
          </w:p>
        </w:tc>
      </w:tr>
      <w:tr w:rsidR="008F56BD" w14:paraId="445BFE2A" w14:textId="77777777" w:rsidTr="008F56BD">
        <w:trPr>
          <w:trHeight w:val="264"/>
        </w:trPr>
        <w:tc>
          <w:tcPr>
            <w:tcW w:w="1731" w:type="dxa"/>
            <w:tcBorders>
              <w:top w:val="nil"/>
              <w:left w:val="single" w:sz="4" w:space="0" w:color="auto"/>
              <w:bottom w:val="nil"/>
              <w:right w:val="single" w:sz="4" w:space="0" w:color="auto"/>
            </w:tcBorders>
          </w:tcPr>
          <w:p w14:paraId="271E4220"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4EDB7D4C" w14:textId="77777777" w:rsidR="008F56BD" w:rsidRDefault="008F56BD">
            <w:pPr>
              <w:spacing w:line="276" w:lineRule="auto"/>
              <w:ind w:left="113" w:hanging="113"/>
              <w:rPr>
                <w:b/>
                <w:sz w:val="18"/>
                <w:szCs w:val="18"/>
              </w:rPr>
            </w:pPr>
            <w:r>
              <w:rPr>
                <w:sz w:val="18"/>
                <w:szCs w:val="18"/>
              </w:rPr>
              <w:t xml:space="preserve">Meat (cattle and poultry) (minimise pathogen, extend </w:t>
            </w:r>
          </w:p>
        </w:tc>
        <w:tc>
          <w:tcPr>
            <w:tcW w:w="1977" w:type="dxa"/>
            <w:tcBorders>
              <w:top w:val="dotted" w:sz="4" w:space="0" w:color="auto"/>
              <w:left w:val="single" w:sz="4" w:space="0" w:color="auto"/>
              <w:bottom w:val="nil"/>
              <w:right w:val="single" w:sz="4" w:space="0" w:color="auto"/>
            </w:tcBorders>
            <w:hideMark/>
          </w:tcPr>
          <w:p w14:paraId="5562A4E0" w14:textId="77777777" w:rsidR="008F56BD" w:rsidRDefault="008F56BD">
            <w:pPr>
              <w:spacing w:line="276" w:lineRule="auto"/>
              <w:rPr>
                <w:rFonts w:eastAsia="Arial Unicode MS"/>
                <w:sz w:val="18"/>
                <w:szCs w:val="18"/>
              </w:rPr>
            </w:pPr>
            <w:r>
              <w:rPr>
                <w:rFonts w:eastAsia="Arial Unicode MS"/>
                <w:sz w:val="18"/>
                <w:szCs w:val="18"/>
              </w:rPr>
              <w:t xml:space="preserve">0.5 to 7.0 </w:t>
            </w:r>
          </w:p>
        </w:tc>
      </w:tr>
      <w:tr w:rsidR="008F56BD" w14:paraId="40B3046F" w14:textId="77777777" w:rsidTr="008F56BD">
        <w:trPr>
          <w:trHeight w:val="264"/>
        </w:trPr>
        <w:tc>
          <w:tcPr>
            <w:tcW w:w="1731" w:type="dxa"/>
            <w:tcBorders>
              <w:top w:val="nil"/>
              <w:left w:val="single" w:sz="4" w:space="0" w:color="auto"/>
              <w:bottom w:val="single" w:sz="4" w:space="0" w:color="auto"/>
              <w:right w:val="single" w:sz="4" w:space="0" w:color="auto"/>
            </w:tcBorders>
          </w:tcPr>
          <w:p w14:paraId="18327477"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single" w:sz="4" w:space="0" w:color="auto"/>
              <w:right w:val="single" w:sz="4" w:space="0" w:color="auto"/>
            </w:tcBorders>
            <w:hideMark/>
          </w:tcPr>
          <w:p w14:paraId="62AABF96" w14:textId="77777777" w:rsidR="008F56BD" w:rsidRDefault="008F56BD">
            <w:pPr>
              <w:spacing w:line="276" w:lineRule="auto"/>
              <w:ind w:left="113" w:hanging="113"/>
              <w:rPr>
                <w:b/>
                <w:sz w:val="18"/>
                <w:szCs w:val="18"/>
              </w:rPr>
            </w:pPr>
            <w:r>
              <w:rPr>
                <w:sz w:val="18"/>
                <w:szCs w:val="18"/>
              </w:rPr>
              <w:t>preservation, control parasites)</w:t>
            </w:r>
          </w:p>
        </w:tc>
        <w:tc>
          <w:tcPr>
            <w:tcW w:w="1977" w:type="dxa"/>
            <w:tcBorders>
              <w:top w:val="nil"/>
              <w:left w:val="single" w:sz="4" w:space="0" w:color="auto"/>
              <w:bottom w:val="single" w:sz="4" w:space="0" w:color="auto"/>
              <w:right w:val="single" w:sz="4" w:space="0" w:color="auto"/>
            </w:tcBorders>
          </w:tcPr>
          <w:p w14:paraId="4B84CCD6" w14:textId="77777777" w:rsidR="008F56BD" w:rsidRDefault="008F56BD">
            <w:pPr>
              <w:spacing w:line="276" w:lineRule="auto"/>
              <w:rPr>
                <w:rFonts w:eastAsia="Arial Unicode MS"/>
                <w:sz w:val="18"/>
                <w:szCs w:val="18"/>
              </w:rPr>
            </w:pPr>
          </w:p>
        </w:tc>
      </w:tr>
      <w:tr w:rsidR="008F56BD" w14:paraId="19471CD9" w14:textId="77777777" w:rsidTr="008F56BD">
        <w:trPr>
          <w:trHeight w:val="264"/>
        </w:trPr>
        <w:tc>
          <w:tcPr>
            <w:tcW w:w="1731" w:type="dxa"/>
            <w:tcBorders>
              <w:top w:val="single" w:sz="4" w:space="0" w:color="auto"/>
              <w:left w:val="single" w:sz="4" w:space="0" w:color="auto"/>
              <w:bottom w:val="nil"/>
              <w:right w:val="single" w:sz="4" w:space="0" w:color="auto"/>
            </w:tcBorders>
          </w:tcPr>
          <w:p w14:paraId="2EBDF63C" w14:textId="77777777" w:rsidR="008F56BD" w:rsidRDefault="008F56BD">
            <w:pPr>
              <w:spacing w:line="276" w:lineRule="auto"/>
              <w:rPr>
                <w:rFonts w:eastAsia="Arial Unicode MS"/>
                <w:sz w:val="18"/>
                <w:szCs w:val="18"/>
              </w:rPr>
            </w:pPr>
          </w:p>
        </w:tc>
        <w:tc>
          <w:tcPr>
            <w:tcW w:w="5352" w:type="dxa"/>
            <w:tcBorders>
              <w:top w:val="single" w:sz="4" w:space="0" w:color="auto"/>
              <w:left w:val="single" w:sz="4" w:space="0" w:color="auto"/>
              <w:bottom w:val="nil"/>
              <w:right w:val="single" w:sz="4" w:space="0" w:color="auto"/>
            </w:tcBorders>
            <w:hideMark/>
          </w:tcPr>
          <w:p w14:paraId="489C2274" w14:textId="77777777" w:rsidR="008F56BD" w:rsidRDefault="008F56BD">
            <w:pPr>
              <w:spacing w:line="276" w:lineRule="auto"/>
              <w:ind w:left="113" w:hanging="113"/>
              <w:rPr>
                <w:b/>
                <w:sz w:val="18"/>
                <w:szCs w:val="18"/>
              </w:rPr>
            </w:pPr>
            <w:r>
              <w:rPr>
                <w:sz w:val="18"/>
                <w:szCs w:val="18"/>
              </w:rPr>
              <w:t xml:space="preserve">Dried vegetables and herbs (minimise pathogens, exterminate </w:t>
            </w:r>
          </w:p>
        </w:tc>
        <w:tc>
          <w:tcPr>
            <w:tcW w:w="1977" w:type="dxa"/>
            <w:tcBorders>
              <w:top w:val="single" w:sz="4" w:space="0" w:color="auto"/>
              <w:left w:val="single" w:sz="4" w:space="0" w:color="auto"/>
              <w:bottom w:val="nil"/>
              <w:right w:val="single" w:sz="4" w:space="0" w:color="auto"/>
            </w:tcBorders>
            <w:hideMark/>
          </w:tcPr>
          <w:p w14:paraId="28E2A0FF" w14:textId="77777777" w:rsidR="008F56BD" w:rsidRDefault="008F56BD">
            <w:pPr>
              <w:spacing w:line="276" w:lineRule="auto"/>
              <w:rPr>
                <w:rFonts w:eastAsia="Arial Unicode MS"/>
                <w:sz w:val="18"/>
                <w:szCs w:val="18"/>
              </w:rPr>
            </w:pPr>
            <w:r>
              <w:rPr>
                <w:rFonts w:eastAsia="Arial Unicode MS"/>
                <w:sz w:val="18"/>
                <w:szCs w:val="18"/>
              </w:rPr>
              <w:t>0.3 to 10.0</w:t>
            </w:r>
          </w:p>
        </w:tc>
      </w:tr>
      <w:tr w:rsidR="008F56BD" w14:paraId="5B978DC5" w14:textId="77777777" w:rsidTr="008F56BD">
        <w:trPr>
          <w:trHeight w:val="264"/>
        </w:trPr>
        <w:tc>
          <w:tcPr>
            <w:tcW w:w="1731" w:type="dxa"/>
            <w:tcBorders>
              <w:top w:val="nil"/>
              <w:left w:val="single" w:sz="4" w:space="0" w:color="auto"/>
              <w:bottom w:val="nil"/>
              <w:right w:val="single" w:sz="4" w:space="0" w:color="auto"/>
            </w:tcBorders>
          </w:tcPr>
          <w:p w14:paraId="582A6BE0"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6E794F4E" w14:textId="77777777" w:rsidR="008F56BD" w:rsidRDefault="008F56BD">
            <w:pPr>
              <w:spacing w:line="276" w:lineRule="auto"/>
              <w:ind w:left="113" w:hanging="113"/>
              <w:rPr>
                <w:b/>
                <w:sz w:val="18"/>
                <w:szCs w:val="18"/>
              </w:rPr>
            </w:pPr>
            <w:r>
              <w:rPr>
                <w:sz w:val="18"/>
                <w:szCs w:val="18"/>
              </w:rPr>
              <w:t>insects and pests)</w:t>
            </w:r>
          </w:p>
        </w:tc>
        <w:tc>
          <w:tcPr>
            <w:tcW w:w="1977" w:type="dxa"/>
            <w:tcBorders>
              <w:top w:val="nil"/>
              <w:left w:val="single" w:sz="4" w:space="0" w:color="auto"/>
              <w:bottom w:val="dotted" w:sz="4" w:space="0" w:color="auto"/>
              <w:right w:val="single" w:sz="4" w:space="0" w:color="auto"/>
            </w:tcBorders>
          </w:tcPr>
          <w:p w14:paraId="3EE468DC" w14:textId="77777777" w:rsidR="008F56BD" w:rsidRDefault="008F56BD">
            <w:pPr>
              <w:spacing w:line="276" w:lineRule="auto"/>
              <w:rPr>
                <w:rFonts w:eastAsia="Arial Unicode MS"/>
                <w:sz w:val="18"/>
                <w:szCs w:val="18"/>
              </w:rPr>
            </w:pPr>
          </w:p>
        </w:tc>
      </w:tr>
      <w:tr w:rsidR="008F56BD" w14:paraId="234FB0DC" w14:textId="77777777" w:rsidTr="008F56BD">
        <w:trPr>
          <w:trHeight w:val="264"/>
        </w:trPr>
        <w:tc>
          <w:tcPr>
            <w:tcW w:w="1731" w:type="dxa"/>
            <w:tcBorders>
              <w:top w:val="nil"/>
              <w:left w:val="single" w:sz="4" w:space="0" w:color="auto"/>
              <w:bottom w:val="nil"/>
              <w:right w:val="single" w:sz="4" w:space="0" w:color="auto"/>
            </w:tcBorders>
          </w:tcPr>
          <w:p w14:paraId="6026B434"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47DC0F79" w14:textId="77777777" w:rsidR="008F56BD" w:rsidRDefault="008F56BD">
            <w:pPr>
              <w:spacing w:line="276" w:lineRule="auto"/>
              <w:ind w:left="113" w:hanging="113"/>
              <w:rPr>
                <w:b/>
                <w:sz w:val="18"/>
                <w:szCs w:val="18"/>
              </w:rPr>
            </w:pPr>
            <w:r>
              <w:rPr>
                <w:sz w:val="18"/>
                <w:szCs w:val="18"/>
              </w:rPr>
              <w:t xml:space="preserve">Dried animal foodstuffs (exterminate insects and parasites, </w:t>
            </w:r>
          </w:p>
        </w:tc>
        <w:tc>
          <w:tcPr>
            <w:tcW w:w="1977" w:type="dxa"/>
            <w:tcBorders>
              <w:top w:val="dotted" w:sz="4" w:space="0" w:color="auto"/>
              <w:left w:val="single" w:sz="4" w:space="0" w:color="auto"/>
              <w:bottom w:val="nil"/>
              <w:right w:val="single" w:sz="4" w:space="0" w:color="auto"/>
            </w:tcBorders>
            <w:hideMark/>
          </w:tcPr>
          <w:p w14:paraId="604A73F7" w14:textId="77777777" w:rsidR="008F56BD" w:rsidRDefault="008F56BD">
            <w:pPr>
              <w:spacing w:line="276" w:lineRule="auto"/>
              <w:rPr>
                <w:rFonts w:eastAsia="Arial Unicode MS"/>
                <w:sz w:val="18"/>
                <w:szCs w:val="18"/>
              </w:rPr>
            </w:pPr>
            <w:r>
              <w:rPr>
                <w:rFonts w:eastAsia="Arial Unicode MS"/>
                <w:sz w:val="18"/>
                <w:szCs w:val="18"/>
              </w:rPr>
              <w:t>0.3 to 7.0</w:t>
            </w:r>
          </w:p>
        </w:tc>
      </w:tr>
      <w:tr w:rsidR="008F56BD" w14:paraId="49DA6068" w14:textId="77777777" w:rsidTr="008F56BD">
        <w:trPr>
          <w:trHeight w:val="264"/>
        </w:trPr>
        <w:tc>
          <w:tcPr>
            <w:tcW w:w="1731" w:type="dxa"/>
            <w:tcBorders>
              <w:top w:val="nil"/>
              <w:left w:val="single" w:sz="4" w:space="0" w:color="auto"/>
              <w:bottom w:val="single" w:sz="4" w:space="0" w:color="auto"/>
              <w:right w:val="single" w:sz="4" w:space="0" w:color="auto"/>
            </w:tcBorders>
          </w:tcPr>
          <w:p w14:paraId="4340B180"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single" w:sz="4" w:space="0" w:color="auto"/>
              <w:right w:val="single" w:sz="4" w:space="0" w:color="auto"/>
            </w:tcBorders>
            <w:hideMark/>
          </w:tcPr>
          <w:p w14:paraId="23E66394" w14:textId="77777777" w:rsidR="008F56BD" w:rsidRDefault="008F56BD">
            <w:pPr>
              <w:spacing w:line="276" w:lineRule="auto"/>
              <w:rPr>
                <w:b/>
                <w:sz w:val="18"/>
                <w:szCs w:val="18"/>
              </w:rPr>
            </w:pPr>
            <w:r>
              <w:rPr>
                <w:sz w:val="18"/>
                <w:szCs w:val="18"/>
              </w:rPr>
              <w:t>control fungi, minimise pathogens)</w:t>
            </w:r>
          </w:p>
        </w:tc>
        <w:tc>
          <w:tcPr>
            <w:tcW w:w="1977" w:type="dxa"/>
            <w:tcBorders>
              <w:top w:val="nil"/>
              <w:left w:val="single" w:sz="4" w:space="0" w:color="auto"/>
              <w:bottom w:val="single" w:sz="4" w:space="0" w:color="auto"/>
              <w:right w:val="single" w:sz="4" w:space="0" w:color="auto"/>
            </w:tcBorders>
          </w:tcPr>
          <w:p w14:paraId="5886E3B4" w14:textId="77777777" w:rsidR="008F56BD" w:rsidRDefault="008F56BD">
            <w:pPr>
              <w:spacing w:line="276" w:lineRule="auto"/>
              <w:rPr>
                <w:rFonts w:eastAsia="Arial Unicode MS"/>
                <w:sz w:val="18"/>
                <w:szCs w:val="18"/>
              </w:rPr>
            </w:pPr>
          </w:p>
        </w:tc>
      </w:tr>
      <w:tr w:rsidR="008F56BD" w14:paraId="5641AB16" w14:textId="77777777" w:rsidTr="008F56BD">
        <w:trPr>
          <w:trHeight w:val="237"/>
        </w:trPr>
        <w:tc>
          <w:tcPr>
            <w:tcW w:w="1731" w:type="dxa"/>
            <w:tcBorders>
              <w:top w:val="single" w:sz="4" w:space="0" w:color="auto"/>
              <w:left w:val="single" w:sz="4" w:space="0" w:color="auto"/>
              <w:bottom w:val="nil"/>
              <w:right w:val="single" w:sz="4" w:space="0" w:color="auto"/>
            </w:tcBorders>
            <w:hideMark/>
          </w:tcPr>
          <w:p w14:paraId="59B164D3" w14:textId="77777777" w:rsidR="008F56BD" w:rsidRDefault="008F56BD">
            <w:pPr>
              <w:spacing w:line="276" w:lineRule="auto"/>
              <w:rPr>
                <w:rFonts w:eastAsia="Arial Unicode MS"/>
                <w:sz w:val="18"/>
                <w:szCs w:val="18"/>
              </w:rPr>
            </w:pPr>
            <w:r>
              <w:rPr>
                <w:rFonts w:eastAsia="Arial Unicode MS"/>
                <w:sz w:val="18"/>
                <w:szCs w:val="18"/>
              </w:rPr>
              <w:t>Indonesia</w:t>
            </w:r>
          </w:p>
        </w:tc>
        <w:tc>
          <w:tcPr>
            <w:tcW w:w="5352" w:type="dxa"/>
            <w:tcBorders>
              <w:top w:val="single" w:sz="4" w:space="0" w:color="auto"/>
              <w:left w:val="single" w:sz="4" w:space="0" w:color="auto"/>
              <w:bottom w:val="dotted" w:sz="4" w:space="0" w:color="auto"/>
              <w:right w:val="single" w:sz="4" w:space="0" w:color="auto"/>
            </w:tcBorders>
            <w:hideMark/>
          </w:tcPr>
          <w:p w14:paraId="0575D3D7" w14:textId="77777777" w:rsidR="008F56BD" w:rsidRDefault="008F56BD">
            <w:pPr>
              <w:spacing w:line="276" w:lineRule="auto"/>
              <w:ind w:left="145" w:hanging="145"/>
              <w:rPr>
                <w:sz w:val="18"/>
                <w:szCs w:val="18"/>
              </w:rPr>
            </w:pPr>
            <w:r>
              <w:rPr>
                <w:sz w:val="18"/>
                <w:szCs w:val="18"/>
              </w:rPr>
              <w:t xml:space="preserve">Bulb and tuber roots (inhibit sprouting) </w:t>
            </w:r>
          </w:p>
        </w:tc>
        <w:tc>
          <w:tcPr>
            <w:tcW w:w="1977" w:type="dxa"/>
            <w:tcBorders>
              <w:top w:val="single" w:sz="4" w:space="0" w:color="auto"/>
              <w:left w:val="single" w:sz="4" w:space="0" w:color="auto"/>
              <w:bottom w:val="dotted" w:sz="4" w:space="0" w:color="auto"/>
              <w:right w:val="single" w:sz="4" w:space="0" w:color="auto"/>
            </w:tcBorders>
            <w:hideMark/>
          </w:tcPr>
          <w:p w14:paraId="144C82C6" w14:textId="77777777" w:rsidR="008F56BD" w:rsidRDefault="008F56BD">
            <w:pPr>
              <w:spacing w:line="276" w:lineRule="auto"/>
              <w:rPr>
                <w:rFonts w:eastAsia="Arial Unicode MS"/>
                <w:sz w:val="18"/>
                <w:szCs w:val="18"/>
              </w:rPr>
            </w:pPr>
            <w:r>
              <w:rPr>
                <w:sz w:val="18"/>
                <w:szCs w:val="18"/>
              </w:rPr>
              <w:t>0.15</w:t>
            </w:r>
          </w:p>
        </w:tc>
      </w:tr>
      <w:tr w:rsidR="008F56BD" w14:paraId="2DE1EFB0" w14:textId="77777777" w:rsidTr="008F56BD">
        <w:trPr>
          <w:trHeight w:val="263"/>
        </w:trPr>
        <w:tc>
          <w:tcPr>
            <w:tcW w:w="1731" w:type="dxa"/>
            <w:tcBorders>
              <w:top w:val="nil"/>
              <w:left w:val="single" w:sz="4" w:space="0" w:color="auto"/>
              <w:bottom w:val="nil"/>
              <w:right w:val="single" w:sz="4" w:space="0" w:color="auto"/>
            </w:tcBorders>
          </w:tcPr>
          <w:p w14:paraId="304D5DEF"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231965BB" w14:textId="77777777" w:rsidR="008F56BD" w:rsidRDefault="008F56BD">
            <w:pPr>
              <w:spacing w:line="276" w:lineRule="auto"/>
              <w:ind w:left="145" w:hanging="145"/>
              <w:rPr>
                <w:sz w:val="18"/>
                <w:szCs w:val="18"/>
              </w:rPr>
            </w:pPr>
            <w:r w:rsidRPr="004F742E">
              <w:rPr>
                <w:sz w:val="18"/>
                <w:szCs w:val="18"/>
              </w:rPr>
              <w:t>Fresh fruit and vegetables</w:t>
            </w:r>
            <w:r>
              <w:rPr>
                <w:sz w:val="18"/>
                <w:szCs w:val="18"/>
              </w:rPr>
              <w:t xml:space="preserve"> (delay maturation, insect </w:t>
            </w:r>
          </w:p>
        </w:tc>
        <w:tc>
          <w:tcPr>
            <w:tcW w:w="1977" w:type="dxa"/>
            <w:tcBorders>
              <w:top w:val="dotted" w:sz="4" w:space="0" w:color="auto"/>
              <w:left w:val="single" w:sz="4" w:space="0" w:color="auto"/>
              <w:bottom w:val="nil"/>
              <w:right w:val="single" w:sz="4" w:space="0" w:color="auto"/>
            </w:tcBorders>
            <w:hideMark/>
          </w:tcPr>
          <w:p w14:paraId="20606A7D" w14:textId="77777777" w:rsidR="008F56BD" w:rsidRDefault="008F56BD">
            <w:pPr>
              <w:spacing w:line="276" w:lineRule="auto"/>
              <w:rPr>
                <w:sz w:val="18"/>
                <w:szCs w:val="18"/>
              </w:rPr>
            </w:pPr>
            <w:r>
              <w:rPr>
                <w:sz w:val="18"/>
                <w:szCs w:val="18"/>
              </w:rPr>
              <w:t>1.0 to 2.5</w:t>
            </w:r>
          </w:p>
        </w:tc>
      </w:tr>
      <w:tr w:rsidR="008F56BD" w14:paraId="6987D71E" w14:textId="77777777" w:rsidTr="008F56BD">
        <w:trPr>
          <w:trHeight w:val="263"/>
        </w:trPr>
        <w:tc>
          <w:tcPr>
            <w:tcW w:w="1731" w:type="dxa"/>
            <w:tcBorders>
              <w:top w:val="nil"/>
              <w:left w:val="single" w:sz="4" w:space="0" w:color="auto"/>
              <w:bottom w:val="nil"/>
              <w:right w:val="single" w:sz="4" w:space="0" w:color="auto"/>
            </w:tcBorders>
          </w:tcPr>
          <w:p w14:paraId="4FB50835"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6F08A7DA" w14:textId="4FBB3C26" w:rsidR="008F56BD" w:rsidRDefault="008F56BD">
            <w:pPr>
              <w:spacing w:line="276" w:lineRule="auto"/>
              <w:ind w:left="145" w:hanging="145"/>
              <w:rPr>
                <w:sz w:val="18"/>
                <w:szCs w:val="18"/>
              </w:rPr>
            </w:pPr>
            <w:r>
              <w:rPr>
                <w:sz w:val="18"/>
                <w:szCs w:val="18"/>
              </w:rPr>
              <w:t>disinfestation, quarantine, shelf-life extension</w:t>
            </w:r>
            <w:r w:rsidR="009E5873">
              <w:rPr>
                <w:sz w:val="18"/>
                <w:szCs w:val="18"/>
              </w:rPr>
              <w:t>)</w:t>
            </w:r>
          </w:p>
        </w:tc>
        <w:tc>
          <w:tcPr>
            <w:tcW w:w="1977" w:type="dxa"/>
            <w:tcBorders>
              <w:top w:val="nil"/>
              <w:left w:val="single" w:sz="4" w:space="0" w:color="auto"/>
              <w:bottom w:val="dotted" w:sz="4" w:space="0" w:color="auto"/>
              <w:right w:val="single" w:sz="4" w:space="0" w:color="auto"/>
            </w:tcBorders>
          </w:tcPr>
          <w:p w14:paraId="3A1C44CA" w14:textId="77777777" w:rsidR="008F56BD" w:rsidRDefault="008F56BD">
            <w:pPr>
              <w:spacing w:line="276" w:lineRule="auto"/>
              <w:rPr>
                <w:sz w:val="18"/>
                <w:szCs w:val="18"/>
              </w:rPr>
            </w:pPr>
          </w:p>
        </w:tc>
      </w:tr>
      <w:tr w:rsidR="008F56BD" w14:paraId="227F6E6C" w14:textId="77777777" w:rsidTr="008F56BD">
        <w:trPr>
          <w:trHeight w:val="263"/>
        </w:trPr>
        <w:tc>
          <w:tcPr>
            <w:tcW w:w="1731" w:type="dxa"/>
            <w:tcBorders>
              <w:top w:val="nil"/>
              <w:left w:val="single" w:sz="4" w:space="0" w:color="auto"/>
              <w:bottom w:val="nil"/>
              <w:right w:val="single" w:sz="4" w:space="0" w:color="auto"/>
            </w:tcBorders>
          </w:tcPr>
          <w:p w14:paraId="1B547CA8"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133EFBF2" w14:textId="77777777" w:rsidR="008F56BD" w:rsidRDefault="008F56BD">
            <w:pPr>
              <w:spacing w:line="276" w:lineRule="auto"/>
              <w:ind w:left="145" w:hanging="145"/>
              <w:rPr>
                <w:sz w:val="18"/>
                <w:szCs w:val="18"/>
              </w:rPr>
            </w:pPr>
            <w:r>
              <w:rPr>
                <w:sz w:val="18"/>
                <w:szCs w:val="18"/>
              </w:rPr>
              <w:t>Processed vegetables and fruit products (extend shelf-life)</w:t>
            </w:r>
          </w:p>
        </w:tc>
        <w:tc>
          <w:tcPr>
            <w:tcW w:w="1977" w:type="dxa"/>
            <w:tcBorders>
              <w:top w:val="dotted" w:sz="4" w:space="0" w:color="auto"/>
              <w:left w:val="single" w:sz="4" w:space="0" w:color="auto"/>
              <w:bottom w:val="dotted" w:sz="4" w:space="0" w:color="auto"/>
              <w:right w:val="single" w:sz="4" w:space="0" w:color="auto"/>
            </w:tcBorders>
            <w:hideMark/>
          </w:tcPr>
          <w:p w14:paraId="72542E41" w14:textId="77777777" w:rsidR="008F56BD" w:rsidRDefault="008F56BD">
            <w:pPr>
              <w:spacing w:line="276" w:lineRule="auto"/>
              <w:rPr>
                <w:sz w:val="18"/>
                <w:szCs w:val="18"/>
              </w:rPr>
            </w:pPr>
            <w:r>
              <w:rPr>
                <w:sz w:val="18"/>
                <w:szCs w:val="18"/>
              </w:rPr>
              <w:t>7.0</w:t>
            </w:r>
          </w:p>
        </w:tc>
      </w:tr>
      <w:tr w:rsidR="008F56BD" w14:paraId="32AAB10A" w14:textId="77777777" w:rsidTr="008F56BD">
        <w:trPr>
          <w:trHeight w:val="263"/>
        </w:trPr>
        <w:tc>
          <w:tcPr>
            <w:tcW w:w="1731" w:type="dxa"/>
            <w:tcBorders>
              <w:top w:val="nil"/>
              <w:left w:val="single" w:sz="4" w:space="0" w:color="auto"/>
              <w:bottom w:val="nil"/>
              <w:right w:val="single" w:sz="4" w:space="0" w:color="auto"/>
            </w:tcBorders>
          </w:tcPr>
          <w:p w14:paraId="0DBBF3FD"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7E8BE0B6" w14:textId="77777777" w:rsidR="008F56BD" w:rsidRDefault="008F56BD">
            <w:pPr>
              <w:spacing w:line="276" w:lineRule="auto"/>
              <w:ind w:left="145" w:hanging="145"/>
              <w:rPr>
                <w:sz w:val="18"/>
                <w:szCs w:val="18"/>
              </w:rPr>
            </w:pPr>
            <w:r>
              <w:rPr>
                <w:sz w:val="18"/>
                <w:szCs w:val="18"/>
              </w:rPr>
              <w:t>Mango (extend shelf-life)</w:t>
            </w:r>
          </w:p>
        </w:tc>
        <w:tc>
          <w:tcPr>
            <w:tcW w:w="1977" w:type="dxa"/>
            <w:tcBorders>
              <w:top w:val="dotted" w:sz="4" w:space="0" w:color="auto"/>
              <w:left w:val="single" w:sz="4" w:space="0" w:color="auto"/>
              <w:bottom w:val="dotted" w:sz="4" w:space="0" w:color="auto"/>
              <w:right w:val="single" w:sz="4" w:space="0" w:color="auto"/>
            </w:tcBorders>
            <w:hideMark/>
          </w:tcPr>
          <w:p w14:paraId="5738A1F9" w14:textId="77777777" w:rsidR="008F56BD" w:rsidRDefault="008F56BD">
            <w:pPr>
              <w:spacing w:line="276" w:lineRule="auto"/>
              <w:rPr>
                <w:sz w:val="18"/>
                <w:szCs w:val="18"/>
              </w:rPr>
            </w:pPr>
            <w:r>
              <w:rPr>
                <w:rFonts w:eastAsia="Arial Unicode MS"/>
                <w:sz w:val="18"/>
                <w:szCs w:val="18"/>
              </w:rPr>
              <w:t>0.75</w:t>
            </w:r>
          </w:p>
        </w:tc>
      </w:tr>
      <w:tr w:rsidR="008F56BD" w14:paraId="3423D5B7" w14:textId="77777777" w:rsidTr="008F56BD">
        <w:trPr>
          <w:trHeight w:val="263"/>
        </w:trPr>
        <w:tc>
          <w:tcPr>
            <w:tcW w:w="1731" w:type="dxa"/>
            <w:tcBorders>
              <w:top w:val="nil"/>
              <w:left w:val="single" w:sz="4" w:space="0" w:color="auto"/>
              <w:bottom w:val="nil"/>
              <w:right w:val="single" w:sz="4" w:space="0" w:color="auto"/>
            </w:tcBorders>
          </w:tcPr>
          <w:p w14:paraId="59568F78"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68CAC954" w14:textId="77777777" w:rsidR="008F56BD" w:rsidRDefault="008F56BD">
            <w:pPr>
              <w:spacing w:line="276" w:lineRule="auto"/>
              <w:ind w:left="145" w:hanging="145"/>
              <w:rPr>
                <w:sz w:val="18"/>
                <w:szCs w:val="18"/>
              </w:rPr>
            </w:pPr>
            <w:r>
              <w:rPr>
                <w:sz w:val="18"/>
                <w:szCs w:val="18"/>
              </w:rPr>
              <w:t>Mangosteen Insects (insect disinfestation/quarantine treatment)</w:t>
            </w:r>
          </w:p>
        </w:tc>
        <w:tc>
          <w:tcPr>
            <w:tcW w:w="1977" w:type="dxa"/>
            <w:tcBorders>
              <w:top w:val="dotted" w:sz="4" w:space="0" w:color="auto"/>
              <w:left w:val="single" w:sz="4" w:space="0" w:color="auto"/>
              <w:bottom w:val="dotted" w:sz="4" w:space="0" w:color="auto"/>
              <w:right w:val="single" w:sz="4" w:space="0" w:color="auto"/>
            </w:tcBorders>
            <w:hideMark/>
          </w:tcPr>
          <w:p w14:paraId="469A9A72" w14:textId="77777777" w:rsidR="008F56BD" w:rsidRDefault="008F56BD">
            <w:pPr>
              <w:spacing w:line="276" w:lineRule="auto"/>
              <w:rPr>
                <w:sz w:val="18"/>
                <w:szCs w:val="18"/>
              </w:rPr>
            </w:pPr>
            <w:r>
              <w:rPr>
                <w:sz w:val="18"/>
                <w:szCs w:val="18"/>
              </w:rPr>
              <w:t>1.0</w:t>
            </w:r>
          </w:p>
        </w:tc>
      </w:tr>
      <w:tr w:rsidR="008F56BD" w14:paraId="051ECCF1" w14:textId="77777777" w:rsidTr="008F56BD">
        <w:trPr>
          <w:trHeight w:val="263"/>
        </w:trPr>
        <w:tc>
          <w:tcPr>
            <w:tcW w:w="1731" w:type="dxa"/>
            <w:tcBorders>
              <w:top w:val="nil"/>
              <w:left w:val="single" w:sz="4" w:space="0" w:color="auto"/>
              <w:bottom w:val="nil"/>
              <w:right w:val="single" w:sz="4" w:space="0" w:color="auto"/>
            </w:tcBorders>
          </w:tcPr>
          <w:p w14:paraId="5DCAA033"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4170B2BF" w14:textId="1B8BFBDC" w:rsidR="008F56BD" w:rsidRDefault="008F56BD">
            <w:pPr>
              <w:spacing w:line="276" w:lineRule="auto"/>
              <w:ind w:left="145" w:hanging="145"/>
              <w:rPr>
                <w:sz w:val="18"/>
                <w:szCs w:val="18"/>
              </w:rPr>
            </w:pPr>
            <w:r>
              <w:rPr>
                <w:sz w:val="18"/>
                <w:szCs w:val="18"/>
              </w:rPr>
              <w:t xml:space="preserve">Cereals </w:t>
            </w:r>
            <w:r w:rsidR="009E5873">
              <w:rPr>
                <w:sz w:val="18"/>
                <w:szCs w:val="18"/>
              </w:rPr>
              <w:t>and products, nuts, oil seeds (i</w:t>
            </w:r>
            <w:r>
              <w:rPr>
                <w:sz w:val="18"/>
                <w:szCs w:val="18"/>
              </w:rPr>
              <w:t>nsect disinfestation,</w:t>
            </w:r>
          </w:p>
        </w:tc>
        <w:tc>
          <w:tcPr>
            <w:tcW w:w="1977" w:type="dxa"/>
            <w:tcBorders>
              <w:top w:val="dotted" w:sz="4" w:space="0" w:color="auto"/>
              <w:left w:val="single" w:sz="4" w:space="0" w:color="auto"/>
              <w:bottom w:val="nil"/>
              <w:right w:val="single" w:sz="4" w:space="0" w:color="auto"/>
            </w:tcBorders>
            <w:hideMark/>
          </w:tcPr>
          <w:p w14:paraId="1B862AA5" w14:textId="77777777" w:rsidR="008F56BD" w:rsidRDefault="008F56BD">
            <w:pPr>
              <w:spacing w:line="276" w:lineRule="auto"/>
              <w:rPr>
                <w:sz w:val="18"/>
                <w:szCs w:val="18"/>
              </w:rPr>
            </w:pPr>
            <w:r>
              <w:rPr>
                <w:sz w:val="18"/>
                <w:szCs w:val="18"/>
              </w:rPr>
              <w:t>1.0 to 5.0</w:t>
            </w:r>
          </w:p>
        </w:tc>
      </w:tr>
      <w:tr w:rsidR="008F56BD" w14:paraId="05610971" w14:textId="77777777" w:rsidTr="008F56BD">
        <w:trPr>
          <w:trHeight w:val="263"/>
        </w:trPr>
        <w:tc>
          <w:tcPr>
            <w:tcW w:w="1731" w:type="dxa"/>
            <w:tcBorders>
              <w:top w:val="nil"/>
              <w:left w:val="single" w:sz="4" w:space="0" w:color="auto"/>
              <w:bottom w:val="nil"/>
              <w:right w:val="single" w:sz="4" w:space="0" w:color="auto"/>
            </w:tcBorders>
          </w:tcPr>
          <w:p w14:paraId="09A8FA98"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32A23FCF" w14:textId="77777777" w:rsidR="008F56BD" w:rsidRDefault="008F56BD">
            <w:pPr>
              <w:spacing w:line="276" w:lineRule="auto"/>
              <w:ind w:left="145" w:hanging="145"/>
              <w:rPr>
                <w:sz w:val="18"/>
                <w:szCs w:val="18"/>
              </w:rPr>
            </w:pPr>
            <w:r>
              <w:rPr>
                <w:sz w:val="18"/>
                <w:szCs w:val="18"/>
              </w:rPr>
              <w:t>reduce microbes)</w:t>
            </w:r>
          </w:p>
        </w:tc>
        <w:tc>
          <w:tcPr>
            <w:tcW w:w="1977" w:type="dxa"/>
            <w:tcBorders>
              <w:top w:val="nil"/>
              <w:left w:val="single" w:sz="4" w:space="0" w:color="auto"/>
              <w:bottom w:val="dotted" w:sz="4" w:space="0" w:color="auto"/>
              <w:right w:val="single" w:sz="4" w:space="0" w:color="auto"/>
            </w:tcBorders>
          </w:tcPr>
          <w:p w14:paraId="1576B095" w14:textId="77777777" w:rsidR="008F56BD" w:rsidRDefault="008F56BD">
            <w:pPr>
              <w:spacing w:line="276" w:lineRule="auto"/>
              <w:rPr>
                <w:sz w:val="18"/>
                <w:szCs w:val="18"/>
              </w:rPr>
            </w:pPr>
          </w:p>
        </w:tc>
      </w:tr>
      <w:tr w:rsidR="008F56BD" w14:paraId="7A88EB01" w14:textId="77777777" w:rsidTr="008F56BD">
        <w:trPr>
          <w:trHeight w:val="263"/>
        </w:trPr>
        <w:tc>
          <w:tcPr>
            <w:tcW w:w="1731" w:type="dxa"/>
            <w:tcBorders>
              <w:top w:val="nil"/>
              <w:left w:val="single" w:sz="4" w:space="0" w:color="auto"/>
              <w:bottom w:val="nil"/>
              <w:right w:val="single" w:sz="4" w:space="0" w:color="auto"/>
            </w:tcBorders>
          </w:tcPr>
          <w:p w14:paraId="76B3E833"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6EDFD68C" w14:textId="77777777" w:rsidR="008F56BD" w:rsidRDefault="008F56BD">
            <w:pPr>
              <w:spacing w:line="276" w:lineRule="auto"/>
              <w:ind w:left="145" w:hanging="145"/>
              <w:rPr>
                <w:sz w:val="18"/>
                <w:szCs w:val="18"/>
              </w:rPr>
            </w:pPr>
            <w:r>
              <w:rPr>
                <w:sz w:val="18"/>
                <w:szCs w:val="18"/>
              </w:rPr>
              <w:t xml:space="preserve">Fish and seafood (fresh and frozen) (reduce pathogens, extend </w:t>
            </w:r>
          </w:p>
        </w:tc>
        <w:tc>
          <w:tcPr>
            <w:tcW w:w="1977" w:type="dxa"/>
            <w:tcBorders>
              <w:top w:val="dotted" w:sz="4" w:space="0" w:color="auto"/>
              <w:left w:val="single" w:sz="4" w:space="0" w:color="auto"/>
              <w:bottom w:val="nil"/>
              <w:right w:val="single" w:sz="4" w:space="0" w:color="auto"/>
            </w:tcBorders>
            <w:hideMark/>
          </w:tcPr>
          <w:p w14:paraId="1C36B9F7" w14:textId="77777777" w:rsidR="008F56BD" w:rsidRDefault="008F56BD">
            <w:pPr>
              <w:spacing w:line="276" w:lineRule="auto"/>
              <w:rPr>
                <w:sz w:val="18"/>
                <w:szCs w:val="18"/>
              </w:rPr>
            </w:pPr>
            <w:r>
              <w:rPr>
                <w:rFonts w:eastAsia="Arial Unicode MS"/>
                <w:sz w:val="18"/>
                <w:szCs w:val="18"/>
              </w:rPr>
              <w:t>2.0 to 5.0</w:t>
            </w:r>
          </w:p>
        </w:tc>
      </w:tr>
      <w:tr w:rsidR="008F56BD" w14:paraId="4CC8B6B8" w14:textId="77777777" w:rsidTr="008F56BD">
        <w:trPr>
          <w:trHeight w:val="263"/>
        </w:trPr>
        <w:tc>
          <w:tcPr>
            <w:tcW w:w="1731" w:type="dxa"/>
            <w:tcBorders>
              <w:top w:val="nil"/>
              <w:left w:val="single" w:sz="4" w:space="0" w:color="auto"/>
              <w:bottom w:val="nil"/>
              <w:right w:val="single" w:sz="4" w:space="0" w:color="auto"/>
            </w:tcBorders>
          </w:tcPr>
          <w:p w14:paraId="71AC80FE"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01DD8564" w14:textId="77777777" w:rsidR="008F56BD" w:rsidRDefault="008F56BD">
            <w:pPr>
              <w:spacing w:line="276" w:lineRule="auto"/>
              <w:ind w:left="145" w:hanging="145"/>
              <w:rPr>
                <w:sz w:val="18"/>
                <w:szCs w:val="18"/>
              </w:rPr>
            </w:pPr>
            <w:r>
              <w:rPr>
                <w:sz w:val="18"/>
                <w:szCs w:val="18"/>
              </w:rPr>
              <w:t>shelf-life, control of parasitic infections)</w:t>
            </w:r>
          </w:p>
        </w:tc>
        <w:tc>
          <w:tcPr>
            <w:tcW w:w="1977" w:type="dxa"/>
            <w:tcBorders>
              <w:top w:val="nil"/>
              <w:left w:val="single" w:sz="4" w:space="0" w:color="auto"/>
              <w:bottom w:val="dotted" w:sz="4" w:space="0" w:color="auto"/>
              <w:right w:val="single" w:sz="4" w:space="0" w:color="auto"/>
            </w:tcBorders>
          </w:tcPr>
          <w:p w14:paraId="2A52FD35" w14:textId="77777777" w:rsidR="008F56BD" w:rsidRDefault="008F56BD">
            <w:pPr>
              <w:spacing w:line="276" w:lineRule="auto"/>
              <w:rPr>
                <w:sz w:val="18"/>
                <w:szCs w:val="18"/>
              </w:rPr>
            </w:pPr>
          </w:p>
        </w:tc>
      </w:tr>
      <w:tr w:rsidR="008F56BD" w14:paraId="3C269E75" w14:textId="77777777" w:rsidTr="008F56BD">
        <w:trPr>
          <w:trHeight w:val="263"/>
        </w:trPr>
        <w:tc>
          <w:tcPr>
            <w:tcW w:w="1731" w:type="dxa"/>
            <w:tcBorders>
              <w:top w:val="nil"/>
              <w:left w:val="single" w:sz="4" w:space="0" w:color="auto"/>
              <w:bottom w:val="nil"/>
              <w:right w:val="single" w:sz="4" w:space="0" w:color="auto"/>
            </w:tcBorders>
          </w:tcPr>
          <w:p w14:paraId="4B1680DE"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395A9E30" w14:textId="77777777" w:rsidR="008F56BD" w:rsidRDefault="008F56BD">
            <w:pPr>
              <w:spacing w:line="276" w:lineRule="auto"/>
              <w:ind w:left="145" w:hanging="145"/>
              <w:rPr>
                <w:sz w:val="18"/>
                <w:szCs w:val="18"/>
              </w:rPr>
            </w:pPr>
            <w:r>
              <w:rPr>
                <w:sz w:val="18"/>
                <w:szCs w:val="18"/>
              </w:rPr>
              <w:t>Processed fish products and seafood (reduce pathogens,</w:t>
            </w:r>
          </w:p>
        </w:tc>
        <w:tc>
          <w:tcPr>
            <w:tcW w:w="1977" w:type="dxa"/>
            <w:tcBorders>
              <w:top w:val="dotted" w:sz="4" w:space="0" w:color="auto"/>
              <w:left w:val="single" w:sz="4" w:space="0" w:color="auto"/>
              <w:bottom w:val="nil"/>
              <w:right w:val="single" w:sz="4" w:space="0" w:color="auto"/>
            </w:tcBorders>
            <w:hideMark/>
          </w:tcPr>
          <w:p w14:paraId="64737399" w14:textId="77777777" w:rsidR="008F56BD" w:rsidRDefault="008F56BD">
            <w:pPr>
              <w:spacing w:line="276" w:lineRule="auto"/>
              <w:rPr>
                <w:sz w:val="18"/>
                <w:szCs w:val="18"/>
              </w:rPr>
            </w:pPr>
            <w:r>
              <w:rPr>
                <w:rFonts w:eastAsia="Arial Unicode MS"/>
                <w:sz w:val="18"/>
                <w:szCs w:val="18"/>
              </w:rPr>
              <w:t>8.0 to 10.0</w:t>
            </w:r>
          </w:p>
        </w:tc>
      </w:tr>
      <w:tr w:rsidR="008F56BD" w14:paraId="6D1011D5" w14:textId="77777777" w:rsidTr="008F56BD">
        <w:trPr>
          <w:trHeight w:val="263"/>
        </w:trPr>
        <w:tc>
          <w:tcPr>
            <w:tcW w:w="1731" w:type="dxa"/>
            <w:tcBorders>
              <w:top w:val="nil"/>
              <w:left w:val="single" w:sz="4" w:space="0" w:color="auto"/>
              <w:bottom w:val="nil"/>
              <w:right w:val="single" w:sz="4" w:space="0" w:color="auto"/>
            </w:tcBorders>
          </w:tcPr>
          <w:p w14:paraId="3099BB3B"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14B0A047" w14:textId="77777777" w:rsidR="008F56BD" w:rsidRDefault="008F56BD">
            <w:pPr>
              <w:spacing w:line="276" w:lineRule="auto"/>
              <w:ind w:left="145" w:hanging="145"/>
              <w:rPr>
                <w:sz w:val="18"/>
                <w:szCs w:val="18"/>
              </w:rPr>
            </w:pPr>
            <w:r>
              <w:rPr>
                <w:sz w:val="18"/>
                <w:szCs w:val="18"/>
              </w:rPr>
              <w:t>extend shelf-life)</w:t>
            </w:r>
          </w:p>
        </w:tc>
        <w:tc>
          <w:tcPr>
            <w:tcW w:w="1977" w:type="dxa"/>
            <w:tcBorders>
              <w:top w:val="nil"/>
              <w:left w:val="single" w:sz="4" w:space="0" w:color="auto"/>
              <w:bottom w:val="dotted" w:sz="4" w:space="0" w:color="auto"/>
              <w:right w:val="single" w:sz="4" w:space="0" w:color="auto"/>
            </w:tcBorders>
          </w:tcPr>
          <w:p w14:paraId="57016F1A" w14:textId="77777777" w:rsidR="008F56BD" w:rsidRDefault="008F56BD">
            <w:pPr>
              <w:spacing w:line="276" w:lineRule="auto"/>
              <w:rPr>
                <w:sz w:val="18"/>
                <w:szCs w:val="18"/>
              </w:rPr>
            </w:pPr>
          </w:p>
        </w:tc>
      </w:tr>
      <w:tr w:rsidR="008F56BD" w14:paraId="3FA98F15" w14:textId="77777777" w:rsidTr="008F56BD">
        <w:trPr>
          <w:trHeight w:val="263"/>
        </w:trPr>
        <w:tc>
          <w:tcPr>
            <w:tcW w:w="1731" w:type="dxa"/>
            <w:tcBorders>
              <w:top w:val="nil"/>
              <w:left w:val="single" w:sz="4" w:space="0" w:color="auto"/>
              <w:bottom w:val="nil"/>
              <w:right w:val="single" w:sz="4" w:space="0" w:color="auto"/>
            </w:tcBorders>
          </w:tcPr>
          <w:p w14:paraId="1C890CF8"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50C351D8" w14:textId="77777777" w:rsidR="008F56BD" w:rsidRDefault="008F56BD">
            <w:pPr>
              <w:spacing w:line="276" w:lineRule="auto"/>
              <w:ind w:left="145" w:hanging="145"/>
              <w:rPr>
                <w:sz w:val="18"/>
                <w:szCs w:val="18"/>
              </w:rPr>
            </w:pPr>
            <w:r>
              <w:rPr>
                <w:sz w:val="18"/>
                <w:szCs w:val="18"/>
              </w:rPr>
              <w:t xml:space="preserve">Meat, poultry and dairy (fresh or frozen) (reduce pathogens, </w:t>
            </w:r>
          </w:p>
        </w:tc>
        <w:tc>
          <w:tcPr>
            <w:tcW w:w="1977" w:type="dxa"/>
            <w:tcBorders>
              <w:top w:val="dotted" w:sz="4" w:space="0" w:color="auto"/>
              <w:left w:val="single" w:sz="4" w:space="0" w:color="auto"/>
              <w:bottom w:val="nil"/>
              <w:right w:val="single" w:sz="4" w:space="0" w:color="auto"/>
            </w:tcBorders>
            <w:hideMark/>
          </w:tcPr>
          <w:p w14:paraId="7027BDCF" w14:textId="77777777" w:rsidR="008F56BD" w:rsidRDefault="008F56BD">
            <w:pPr>
              <w:spacing w:line="276" w:lineRule="auto"/>
              <w:rPr>
                <w:sz w:val="18"/>
                <w:szCs w:val="18"/>
              </w:rPr>
            </w:pPr>
            <w:r>
              <w:rPr>
                <w:rFonts w:eastAsia="Arial Unicode MS"/>
                <w:sz w:val="18"/>
                <w:szCs w:val="18"/>
              </w:rPr>
              <w:t xml:space="preserve">2.0 to 7.0 </w:t>
            </w:r>
          </w:p>
        </w:tc>
      </w:tr>
      <w:tr w:rsidR="008F56BD" w14:paraId="3813C9C0" w14:textId="77777777" w:rsidTr="008F56BD">
        <w:trPr>
          <w:trHeight w:val="263"/>
        </w:trPr>
        <w:tc>
          <w:tcPr>
            <w:tcW w:w="1731" w:type="dxa"/>
            <w:tcBorders>
              <w:top w:val="nil"/>
              <w:left w:val="single" w:sz="4" w:space="0" w:color="auto"/>
              <w:bottom w:val="nil"/>
              <w:right w:val="single" w:sz="4" w:space="0" w:color="auto"/>
            </w:tcBorders>
          </w:tcPr>
          <w:p w14:paraId="66E2ED39"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nil"/>
              <w:right w:val="single" w:sz="4" w:space="0" w:color="auto"/>
            </w:tcBorders>
            <w:hideMark/>
          </w:tcPr>
          <w:p w14:paraId="2AB38052" w14:textId="77777777" w:rsidR="008F56BD" w:rsidRDefault="008F56BD">
            <w:pPr>
              <w:spacing w:line="276" w:lineRule="auto"/>
              <w:ind w:left="145" w:hanging="145"/>
              <w:rPr>
                <w:sz w:val="18"/>
                <w:szCs w:val="18"/>
              </w:rPr>
            </w:pPr>
            <w:r>
              <w:rPr>
                <w:sz w:val="18"/>
                <w:szCs w:val="18"/>
              </w:rPr>
              <w:t>extend shelf-life, control of parasitic infections, control</w:t>
            </w:r>
          </w:p>
        </w:tc>
        <w:tc>
          <w:tcPr>
            <w:tcW w:w="1977" w:type="dxa"/>
            <w:tcBorders>
              <w:top w:val="nil"/>
              <w:left w:val="single" w:sz="4" w:space="0" w:color="auto"/>
              <w:bottom w:val="nil"/>
              <w:right w:val="single" w:sz="4" w:space="0" w:color="auto"/>
            </w:tcBorders>
          </w:tcPr>
          <w:p w14:paraId="434E90BF" w14:textId="77777777" w:rsidR="008F56BD" w:rsidRDefault="008F56BD">
            <w:pPr>
              <w:spacing w:line="276" w:lineRule="auto"/>
              <w:rPr>
                <w:sz w:val="18"/>
                <w:szCs w:val="18"/>
              </w:rPr>
            </w:pPr>
          </w:p>
        </w:tc>
      </w:tr>
      <w:tr w:rsidR="008F56BD" w14:paraId="4117D0A2" w14:textId="77777777" w:rsidTr="008F56BD">
        <w:trPr>
          <w:trHeight w:val="263"/>
        </w:trPr>
        <w:tc>
          <w:tcPr>
            <w:tcW w:w="1731" w:type="dxa"/>
            <w:tcBorders>
              <w:top w:val="nil"/>
              <w:left w:val="single" w:sz="4" w:space="0" w:color="auto"/>
              <w:bottom w:val="nil"/>
              <w:right w:val="single" w:sz="4" w:space="0" w:color="auto"/>
            </w:tcBorders>
          </w:tcPr>
          <w:p w14:paraId="6A2FA6D6"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412042A6" w14:textId="245E4506" w:rsidR="008F56BD" w:rsidRDefault="008F56BD">
            <w:pPr>
              <w:spacing w:line="276" w:lineRule="auto"/>
              <w:ind w:left="145" w:hanging="145"/>
              <w:rPr>
                <w:sz w:val="18"/>
                <w:szCs w:val="18"/>
              </w:rPr>
            </w:pPr>
            <w:r>
              <w:rPr>
                <w:sz w:val="18"/>
                <w:szCs w:val="18"/>
              </w:rPr>
              <w:t xml:space="preserve">infection by certain parasites, eliminate </w:t>
            </w:r>
            <w:r w:rsidR="009F2617">
              <w:rPr>
                <w:i/>
                <w:sz w:val="18"/>
                <w:szCs w:val="18"/>
              </w:rPr>
              <w:t>S</w:t>
            </w:r>
            <w:r>
              <w:rPr>
                <w:i/>
                <w:sz w:val="18"/>
                <w:szCs w:val="18"/>
              </w:rPr>
              <w:t>almonella</w:t>
            </w:r>
            <w:r>
              <w:rPr>
                <w:sz w:val="18"/>
                <w:szCs w:val="18"/>
              </w:rPr>
              <w:t xml:space="preserve"> bacteria)</w:t>
            </w:r>
          </w:p>
        </w:tc>
        <w:tc>
          <w:tcPr>
            <w:tcW w:w="1977" w:type="dxa"/>
            <w:tcBorders>
              <w:top w:val="nil"/>
              <w:left w:val="single" w:sz="4" w:space="0" w:color="auto"/>
              <w:bottom w:val="dotted" w:sz="4" w:space="0" w:color="auto"/>
              <w:right w:val="single" w:sz="4" w:space="0" w:color="auto"/>
            </w:tcBorders>
          </w:tcPr>
          <w:p w14:paraId="0DA9AB28" w14:textId="77777777" w:rsidR="008F56BD" w:rsidRDefault="008F56BD">
            <w:pPr>
              <w:spacing w:line="276" w:lineRule="auto"/>
              <w:rPr>
                <w:sz w:val="18"/>
                <w:szCs w:val="18"/>
              </w:rPr>
            </w:pPr>
          </w:p>
        </w:tc>
      </w:tr>
      <w:tr w:rsidR="008F56BD" w14:paraId="09F98A7D" w14:textId="77777777" w:rsidTr="008F56BD">
        <w:trPr>
          <w:trHeight w:val="263"/>
        </w:trPr>
        <w:tc>
          <w:tcPr>
            <w:tcW w:w="1731" w:type="dxa"/>
            <w:tcBorders>
              <w:top w:val="nil"/>
              <w:left w:val="single" w:sz="4" w:space="0" w:color="auto"/>
              <w:bottom w:val="nil"/>
              <w:right w:val="single" w:sz="4" w:space="0" w:color="auto"/>
            </w:tcBorders>
          </w:tcPr>
          <w:p w14:paraId="49ABAC0B"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59F40FFD" w14:textId="77777777" w:rsidR="008F56BD" w:rsidRDefault="008F56BD">
            <w:pPr>
              <w:spacing w:line="276" w:lineRule="auto"/>
              <w:ind w:left="145" w:hanging="145"/>
              <w:rPr>
                <w:sz w:val="18"/>
                <w:szCs w:val="18"/>
              </w:rPr>
            </w:pPr>
            <w:r>
              <w:rPr>
                <w:sz w:val="18"/>
                <w:szCs w:val="18"/>
              </w:rPr>
              <w:t>Herbs, spices and herbal tea (reduce pathogens, insect</w:t>
            </w:r>
          </w:p>
        </w:tc>
        <w:tc>
          <w:tcPr>
            <w:tcW w:w="1977" w:type="dxa"/>
            <w:tcBorders>
              <w:top w:val="dotted" w:sz="4" w:space="0" w:color="auto"/>
              <w:left w:val="single" w:sz="4" w:space="0" w:color="auto"/>
              <w:bottom w:val="nil"/>
              <w:right w:val="single" w:sz="4" w:space="0" w:color="auto"/>
            </w:tcBorders>
            <w:hideMark/>
          </w:tcPr>
          <w:p w14:paraId="03164FA1" w14:textId="77777777" w:rsidR="008F56BD" w:rsidRDefault="008F56BD">
            <w:pPr>
              <w:spacing w:line="276" w:lineRule="auto"/>
              <w:rPr>
                <w:sz w:val="18"/>
                <w:szCs w:val="18"/>
              </w:rPr>
            </w:pPr>
            <w:r>
              <w:rPr>
                <w:rFonts w:eastAsia="Arial Unicode MS"/>
                <w:sz w:val="18"/>
                <w:szCs w:val="18"/>
              </w:rPr>
              <w:t>1.0 to 10.0</w:t>
            </w:r>
          </w:p>
        </w:tc>
      </w:tr>
      <w:tr w:rsidR="008F56BD" w14:paraId="14E784F1" w14:textId="77777777" w:rsidTr="008F56BD">
        <w:trPr>
          <w:trHeight w:val="263"/>
        </w:trPr>
        <w:tc>
          <w:tcPr>
            <w:tcW w:w="1731" w:type="dxa"/>
            <w:tcBorders>
              <w:top w:val="nil"/>
              <w:left w:val="single" w:sz="4" w:space="0" w:color="auto"/>
              <w:bottom w:val="nil"/>
              <w:right w:val="single" w:sz="4" w:space="0" w:color="auto"/>
            </w:tcBorders>
          </w:tcPr>
          <w:p w14:paraId="45429D54"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279A67AA" w14:textId="77777777" w:rsidR="008F56BD" w:rsidRDefault="008F56BD">
            <w:pPr>
              <w:spacing w:line="276" w:lineRule="auto"/>
              <w:ind w:left="145" w:hanging="145"/>
              <w:rPr>
                <w:sz w:val="18"/>
                <w:szCs w:val="18"/>
              </w:rPr>
            </w:pPr>
            <w:r>
              <w:rPr>
                <w:sz w:val="18"/>
                <w:szCs w:val="18"/>
              </w:rPr>
              <w:t>disinfestation)</w:t>
            </w:r>
          </w:p>
        </w:tc>
        <w:tc>
          <w:tcPr>
            <w:tcW w:w="1977" w:type="dxa"/>
            <w:tcBorders>
              <w:top w:val="nil"/>
              <w:left w:val="single" w:sz="4" w:space="0" w:color="auto"/>
              <w:bottom w:val="dotted" w:sz="4" w:space="0" w:color="auto"/>
              <w:right w:val="single" w:sz="4" w:space="0" w:color="auto"/>
            </w:tcBorders>
          </w:tcPr>
          <w:p w14:paraId="6987AC3D" w14:textId="77777777" w:rsidR="008F56BD" w:rsidRDefault="008F56BD">
            <w:pPr>
              <w:spacing w:line="276" w:lineRule="auto"/>
              <w:rPr>
                <w:sz w:val="18"/>
                <w:szCs w:val="18"/>
              </w:rPr>
            </w:pPr>
          </w:p>
        </w:tc>
      </w:tr>
      <w:tr w:rsidR="008F56BD" w14:paraId="5B1FBC92" w14:textId="77777777" w:rsidTr="008F56BD">
        <w:trPr>
          <w:trHeight w:val="263"/>
        </w:trPr>
        <w:tc>
          <w:tcPr>
            <w:tcW w:w="1731" w:type="dxa"/>
            <w:tcBorders>
              <w:top w:val="nil"/>
              <w:left w:val="single" w:sz="4" w:space="0" w:color="auto"/>
              <w:bottom w:val="nil"/>
              <w:right w:val="single" w:sz="4" w:space="0" w:color="auto"/>
            </w:tcBorders>
          </w:tcPr>
          <w:p w14:paraId="10E3D0CB"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0ECDBAEA" w14:textId="77777777" w:rsidR="008F56BD" w:rsidRDefault="008F56BD">
            <w:pPr>
              <w:spacing w:line="276" w:lineRule="auto"/>
              <w:ind w:left="145" w:hanging="145"/>
              <w:rPr>
                <w:sz w:val="18"/>
                <w:szCs w:val="18"/>
              </w:rPr>
            </w:pPr>
            <w:r>
              <w:rPr>
                <w:sz w:val="18"/>
                <w:szCs w:val="18"/>
              </w:rPr>
              <w:t>Dried foods of animal origin (eradicate microbes, fungi and</w:t>
            </w:r>
          </w:p>
        </w:tc>
        <w:tc>
          <w:tcPr>
            <w:tcW w:w="1977" w:type="dxa"/>
            <w:tcBorders>
              <w:top w:val="dotted" w:sz="4" w:space="0" w:color="auto"/>
              <w:left w:val="single" w:sz="4" w:space="0" w:color="auto"/>
              <w:bottom w:val="nil"/>
              <w:right w:val="single" w:sz="4" w:space="0" w:color="auto"/>
            </w:tcBorders>
            <w:hideMark/>
          </w:tcPr>
          <w:p w14:paraId="05885B35" w14:textId="77777777" w:rsidR="008F56BD" w:rsidRDefault="008F56BD">
            <w:pPr>
              <w:spacing w:line="276" w:lineRule="auto"/>
              <w:rPr>
                <w:sz w:val="18"/>
                <w:szCs w:val="18"/>
              </w:rPr>
            </w:pPr>
            <w:r>
              <w:rPr>
                <w:rFonts w:eastAsia="Arial Unicode MS"/>
                <w:sz w:val="18"/>
                <w:szCs w:val="18"/>
              </w:rPr>
              <w:t>1.0 to 5.0</w:t>
            </w:r>
          </w:p>
        </w:tc>
      </w:tr>
      <w:tr w:rsidR="008F56BD" w14:paraId="318C6CC7" w14:textId="77777777" w:rsidTr="008F56BD">
        <w:trPr>
          <w:trHeight w:val="263"/>
        </w:trPr>
        <w:tc>
          <w:tcPr>
            <w:tcW w:w="1731" w:type="dxa"/>
            <w:tcBorders>
              <w:top w:val="nil"/>
              <w:left w:val="single" w:sz="4" w:space="0" w:color="auto"/>
              <w:bottom w:val="nil"/>
              <w:right w:val="single" w:sz="4" w:space="0" w:color="auto"/>
            </w:tcBorders>
          </w:tcPr>
          <w:p w14:paraId="6B920F58"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5D6388CB" w14:textId="77777777" w:rsidR="008F56BD" w:rsidRDefault="008F56BD">
            <w:pPr>
              <w:spacing w:line="276" w:lineRule="auto"/>
              <w:ind w:left="145" w:hanging="145"/>
              <w:rPr>
                <w:sz w:val="18"/>
                <w:szCs w:val="18"/>
              </w:rPr>
            </w:pPr>
            <w:r>
              <w:rPr>
                <w:sz w:val="18"/>
                <w:szCs w:val="18"/>
              </w:rPr>
              <w:t>yeast, sterilization, extend shelf life, insect disinfestation)</w:t>
            </w:r>
          </w:p>
        </w:tc>
        <w:tc>
          <w:tcPr>
            <w:tcW w:w="1977" w:type="dxa"/>
            <w:tcBorders>
              <w:top w:val="nil"/>
              <w:left w:val="single" w:sz="4" w:space="0" w:color="auto"/>
              <w:bottom w:val="dotted" w:sz="4" w:space="0" w:color="auto"/>
              <w:right w:val="single" w:sz="4" w:space="0" w:color="auto"/>
            </w:tcBorders>
          </w:tcPr>
          <w:p w14:paraId="4E83CE41" w14:textId="77777777" w:rsidR="008F56BD" w:rsidRDefault="008F56BD">
            <w:pPr>
              <w:spacing w:line="276" w:lineRule="auto"/>
              <w:rPr>
                <w:sz w:val="18"/>
                <w:szCs w:val="18"/>
              </w:rPr>
            </w:pPr>
          </w:p>
        </w:tc>
      </w:tr>
      <w:tr w:rsidR="008F56BD" w14:paraId="20DBC428" w14:textId="77777777" w:rsidTr="008F56BD">
        <w:trPr>
          <w:trHeight w:val="263"/>
        </w:trPr>
        <w:tc>
          <w:tcPr>
            <w:tcW w:w="1731" w:type="dxa"/>
            <w:tcBorders>
              <w:top w:val="nil"/>
              <w:left w:val="single" w:sz="4" w:space="0" w:color="auto"/>
              <w:bottom w:val="nil"/>
              <w:right w:val="single" w:sz="4" w:space="0" w:color="auto"/>
            </w:tcBorders>
          </w:tcPr>
          <w:p w14:paraId="7335EDF9"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76F767EF" w14:textId="77777777" w:rsidR="008F56BD" w:rsidRDefault="008F56BD">
            <w:pPr>
              <w:spacing w:line="276" w:lineRule="auto"/>
              <w:ind w:left="145" w:hanging="145"/>
              <w:rPr>
                <w:sz w:val="18"/>
                <w:szCs w:val="18"/>
              </w:rPr>
            </w:pPr>
            <w:r>
              <w:rPr>
                <w:sz w:val="18"/>
                <w:szCs w:val="18"/>
              </w:rPr>
              <w:t xml:space="preserve">Certain prepared foods (for commercial sterilisation, eradicate </w:t>
            </w:r>
          </w:p>
        </w:tc>
        <w:tc>
          <w:tcPr>
            <w:tcW w:w="1977" w:type="dxa"/>
            <w:tcBorders>
              <w:top w:val="dotted" w:sz="4" w:space="0" w:color="auto"/>
              <w:left w:val="single" w:sz="4" w:space="0" w:color="auto"/>
              <w:bottom w:val="nil"/>
              <w:right w:val="single" w:sz="4" w:space="0" w:color="auto"/>
            </w:tcBorders>
            <w:hideMark/>
          </w:tcPr>
          <w:p w14:paraId="0C5B2D0B" w14:textId="77777777" w:rsidR="008F56BD" w:rsidRDefault="008F56BD">
            <w:pPr>
              <w:spacing w:line="276" w:lineRule="auto"/>
              <w:rPr>
                <w:sz w:val="18"/>
                <w:szCs w:val="18"/>
              </w:rPr>
            </w:pPr>
            <w:r>
              <w:rPr>
                <w:rFonts w:eastAsia="Arial Unicode MS"/>
                <w:sz w:val="18"/>
                <w:szCs w:val="18"/>
              </w:rPr>
              <w:t>60</w:t>
            </w:r>
          </w:p>
        </w:tc>
      </w:tr>
      <w:tr w:rsidR="008F56BD" w14:paraId="58663D91" w14:textId="77777777" w:rsidTr="008F56BD">
        <w:trPr>
          <w:trHeight w:val="263"/>
        </w:trPr>
        <w:tc>
          <w:tcPr>
            <w:tcW w:w="1731" w:type="dxa"/>
            <w:tcBorders>
              <w:top w:val="nil"/>
              <w:left w:val="single" w:sz="4" w:space="0" w:color="auto"/>
              <w:bottom w:val="nil"/>
              <w:right w:val="single" w:sz="4" w:space="0" w:color="auto"/>
            </w:tcBorders>
          </w:tcPr>
          <w:p w14:paraId="2A00FF1C"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nil"/>
              <w:right w:val="single" w:sz="4" w:space="0" w:color="auto"/>
            </w:tcBorders>
            <w:hideMark/>
          </w:tcPr>
          <w:p w14:paraId="0347A114" w14:textId="77777777" w:rsidR="008F56BD" w:rsidRDefault="008F56BD">
            <w:pPr>
              <w:spacing w:line="276" w:lineRule="auto"/>
              <w:ind w:left="145" w:hanging="145"/>
              <w:rPr>
                <w:sz w:val="18"/>
                <w:szCs w:val="18"/>
              </w:rPr>
            </w:pPr>
            <w:r>
              <w:rPr>
                <w:sz w:val="18"/>
                <w:szCs w:val="18"/>
              </w:rPr>
              <w:t>microbial pathogens, including spore microbes, extend shelf</w:t>
            </w:r>
          </w:p>
        </w:tc>
        <w:tc>
          <w:tcPr>
            <w:tcW w:w="1977" w:type="dxa"/>
            <w:tcBorders>
              <w:top w:val="nil"/>
              <w:left w:val="single" w:sz="4" w:space="0" w:color="auto"/>
              <w:bottom w:val="nil"/>
              <w:right w:val="single" w:sz="4" w:space="0" w:color="auto"/>
            </w:tcBorders>
          </w:tcPr>
          <w:p w14:paraId="6DFB2FD0" w14:textId="77777777" w:rsidR="008F56BD" w:rsidRDefault="008F56BD">
            <w:pPr>
              <w:spacing w:line="276" w:lineRule="auto"/>
              <w:rPr>
                <w:sz w:val="18"/>
                <w:szCs w:val="18"/>
              </w:rPr>
            </w:pPr>
          </w:p>
        </w:tc>
      </w:tr>
      <w:tr w:rsidR="008F56BD" w14:paraId="14052110" w14:textId="77777777" w:rsidTr="008F56BD">
        <w:trPr>
          <w:trHeight w:val="263"/>
        </w:trPr>
        <w:tc>
          <w:tcPr>
            <w:tcW w:w="1731" w:type="dxa"/>
            <w:tcBorders>
              <w:top w:val="nil"/>
              <w:left w:val="single" w:sz="4" w:space="0" w:color="auto"/>
              <w:bottom w:val="single" w:sz="4" w:space="0" w:color="auto"/>
              <w:right w:val="single" w:sz="4" w:space="0" w:color="auto"/>
            </w:tcBorders>
          </w:tcPr>
          <w:p w14:paraId="6554CFF2"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single" w:sz="4" w:space="0" w:color="auto"/>
              <w:right w:val="single" w:sz="4" w:space="0" w:color="auto"/>
            </w:tcBorders>
            <w:hideMark/>
          </w:tcPr>
          <w:p w14:paraId="01BA62D1" w14:textId="77777777" w:rsidR="008F56BD" w:rsidRDefault="008F56BD">
            <w:pPr>
              <w:spacing w:line="276" w:lineRule="auto"/>
              <w:ind w:left="145" w:hanging="145"/>
              <w:rPr>
                <w:sz w:val="18"/>
                <w:szCs w:val="18"/>
              </w:rPr>
            </w:pPr>
            <w:r>
              <w:rPr>
                <w:sz w:val="18"/>
                <w:szCs w:val="18"/>
              </w:rPr>
              <w:t>life)</w:t>
            </w:r>
          </w:p>
        </w:tc>
        <w:tc>
          <w:tcPr>
            <w:tcW w:w="1977" w:type="dxa"/>
            <w:tcBorders>
              <w:top w:val="nil"/>
              <w:left w:val="single" w:sz="4" w:space="0" w:color="auto"/>
              <w:bottom w:val="single" w:sz="4" w:space="0" w:color="auto"/>
              <w:right w:val="single" w:sz="4" w:space="0" w:color="auto"/>
            </w:tcBorders>
          </w:tcPr>
          <w:p w14:paraId="666D8E9E" w14:textId="77777777" w:rsidR="008F56BD" w:rsidRDefault="008F56BD">
            <w:pPr>
              <w:spacing w:line="276" w:lineRule="auto"/>
              <w:rPr>
                <w:sz w:val="18"/>
                <w:szCs w:val="18"/>
              </w:rPr>
            </w:pPr>
          </w:p>
        </w:tc>
      </w:tr>
      <w:tr w:rsidR="008F56BD" w14:paraId="4BF3CE91" w14:textId="77777777" w:rsidTr="008F56BD">
        <w:trPr>
          <w:trHeight w:val="278"/>
        </w:trPr>
        <w:tc>
          <w:tcPr>
            <w:tcW w:w="1731" w:type="dxa"/>
            <w:tcBorders>
              <w:top w:val="single" w:sz="4" w:space="0" w:color="auto"/>
              <w:left w:val="single" w:sz="4" w:space="0" w:color="auto"/>
              <w:bottom w:val="nil"/>
              <w:right w:val="single" w:sz="4" w:space="0" w:color="auto"/>
            </w:tcBorders>
            <w:hideMark/>
          </w:tcPr>
          <w:p w14:paraId="23D22F3E" w14:textId="77777777" w:rsidR="008F56BD" w:rsidRDefault="008F56BD">
            <w:pPr>
              <w:spacing w:line="276" w:lineRule="auto"/>
              <w:rPr>
                <w:rFonts w:eastAsia="Arial Unicode MS"/>
                <w:sz w:val="18"/>
                <w:szCs w:val="18"/>
              </w:rPr>
            </w:pPr>
            <w:r>
              <w:rPr>
                <w:rFonts w:eastAsia="Arial Unicode MS"/>
                <w:sz w:val="18"/>
                <w:szCs w:val="18"/>
              </w:rPr>
              <w:t>India</w:t>
            </w:r>
          </w:p>
        </w:tc>
        <w:tc>
          <w:tcPr>
            <w:tcW w:w="5352" w:type="dxa"/>
            <w:tcBorders>
              <w:top w:val="single" w:sz="4" w:space="0" w:color="auto"/>
              <w:left w:val="single" w:sz="4" w:space="0" w:color="auto"/>
              <w:bottom w:val="dotted" w:sz="4" w:space="0" w:color="auto"/>
              <w:right w:val="single" w:sz="4" w:space="0" w:color="auto"/>
            </w:tcBorders>
            <w:hideMark/>
          </w:tcPr>
          <w:p w14:paraId="516B1B7D" w14:textId="77777777" w:rsidR="008F56BD" w:rsidRDefault="008F56BD">
            <w:pPr>
              <w:spacing w:line="276" w:lineRule="auto"/>
              <w:ind w:left="145" w:hanging="145"/>
              <w:rPr>
                <w:sz w:val="18"/>
                <w:szCs w:val="18"/>
              </w:rPr>
            </w:pPr>
            <w:r>
              <w:rPr>
                <w:sz w:val="18"/>
                <w:szCs w:val="18"/>
              </w:rPr>
              <w:t xml:space="preserve">Bulbs, stem and root tubers (inhibit sprouting) </w:t>
            </w:r>
          </w:p>
        </w:tc>
        <w:tc>
          <w:tcPr>
            <w:tcW w:w="1977" w:type="dxa"/>
            <w:tcBorders>
              <w:top w:val="single" w:sz="4" w:space="0" w:color="auto"/>
              <w:left w:val="single" w:sz="4" w:space="0" w:color="auto"/>
              <w:bottom w:val="dotted" w:sz="4" w:space="0" w:color="auto"/>
              <w:right w:val="single" w:sz="4" w:space="0" w:color="auto"/>
            </w:tcBorders>
            <w:hideMark/>
          </w:tcPr>
          <w:p w14:paraId="150A6C92" w14:textId="77777777" w:rsidR="008F56BD" w:rsidRDefault="008F56BD">
            <w:pPr>
              <w:spacing w:line="276" w:lineRule="auto"/>
              <w:rPr>
                <w:rFonts w:eastAsia="Arial Unicode MS"/>
                <w:sz w:val="18"/>
                <w:szCs w:val="18"/>
              </w:rPr>
            </w:pPr>
            <w:r>
              <w:rPr>
                <w:sz w:val="18"/>
                <w:szCs w:val="18"/>
              </w:rPr>
              <w:t>0.02 to 0.2</w:t>
            </w:r>
          </w:p>
        </w:tc>
      </w:tr>
      <w:tr w:rsidR="008F56BD" w14:paraId="4170C705" w14:textId="77777777" w:rsidTr="008F56BD">
        <w:trPr>
          <w:trHeight w:val="263"/>
        </w:trPr>
        <w:tc>
          <w:tcPr>
            <w:tcW w:w="1731" w:type="dxa"/>
            <w:tcBorders>
              <w:top w:val="nil"/>
              <w:left w:val="single" w:sz="4" w:space="0" w:color="auto"/>
              <w:bottom w:val="nil"/>
              <w:right w:val="single" w:sz="4" w:space="0" w:color="auto"/>
            </w:tcBorders>
          </w:tcPr>
          <w:p w14:paraId="63486CFC"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6C89F75B" w14:textId="77777777" w:rsidR="008F56BD" w:rsidRPr="004F742E" w:rsidRDefault="008F56BD">
            <w:pPr>
              <w:spacing w:line="276" w:lineRule="auto"/>
              <w:ind w:left="145" w:hanging="145"/>
              <w:rPr>
                <w:sz w:val="18"/>
                <w:szCs w:val="18"/>
              </w:rPr>
            </w:pPr>
            <w:r w:rsidRPr="004F742E">
              <w:rPr>
                <w:sz w:val="18"/>
                <w:szCs w:val="18"/>
              </w:rPr>
              <w:t xml:space="preserve">Fresh fruits and vegetables (delay ripening, insect </w:t>
            </w:r>
          </w:p>
        </w:tc>
        <w:tc>
          <w:tcPr>
            <w:tcW w:w="1977" w:type="dxa"/>
            <w:tcBorders>
              <w:top w:val="dotted" w:sz="4" w:space="0" w:color="auto"/>
              <w:left w:val="single" w:sz="4" w:space="0" w:color="auto"/>
              <w:bottom w:val="nil"/>
              <w:right w:val="single" w:sz="4" w:space="0" w:color="auto"/>
            </w:tcBorders>
            <w:hideMark/>
          </w:tcPr>
          <w:p w14:paraId="03E348E9" w14:textId="77777777" w:rsidR="008F56BD" w:rsidRDefault="008F56BD">
            <w:pPr>
              <w:spacing w:line="276" w:lineRule="auto"/>
              <w:rPr>
                <w:sz w:val="18"/>
                <w:szCs w:val="18"/>
              </w:rPr>
            </w:pPr>
            <w:r>
              <w:rPr>
                <w:sz w:val="18"/>
                <w:szCs w:val="18"/>
              </w:rPr>
              <w:t xml:space="preserve">0.2 to 2.5 </w:t>
            </w:r>
          </w:p>
        </w:tc>
      </w:tr>
      <w:tr w:rsidR="008F56BD" w14:paraId="78069F6E" w14:textId="77777777" w:rsidTr="008F56BD">
        <w:trPr>
          <w:trHeight w:val="263"/>
        </w:trPr>
        <w:tc>
          <w:tcPr>
            <w:tcW w:w="1731" w:type="dxa"/>
            <w:tcBorders>
              <w:top w:val="nil"/>
              <w:left w:val="single" w:sz="4" w:space="0" w:color="auto"/>
              <w:bottom w:val="nil"/>
              <w:right w:val="single" w:sz="4" w:space="0" w:color="auto"/>
            </w:tcBorders>
          </w:tcPr>
          <w:p w14:paraId="1E8FE362"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1112F4E8" w14:textId="77777777" w:rsidR="008F56BD" w:rsidRDefault="008F56BD">
            <w:pPr>
              <w:spacing w:line="276" w:lineRule="auto"/>
              <w:ind w:left="145" w:hanging="145"/>
              <w:rPr>
                <w:sz w:val="18"/>
                <w:szCs w:val="18"/>
              </w:rPr>
            </w:pPr>
            <w:r>
              <w:rPr>
                <w:sz w:val="18"/>
                <w:szCs w:val="18"/>
              </w:rPr>
              <w:t>disinfestation, extend shelf-life, quarantine)</w:t>
            </w:r>
          </w:p>
        </w:tc>
        <w:tc>
          <w:tcPr>
            <w:tcW w:w="1977" w:type="dxa"/>
            <w:tcBorders>
              <w:top w:val="nil"/>
              <w:left w:val="single" w:sz="4" w:space="0" w:color="auto"/>
              <w:bottom w:val="dotted" w:sz="4" w:space="0" w:color="auto"/>
              <w:right w:val="single" w:sz="4" w:space="0" w:color="auto"/>
            </w:tcBorders>
          </w:tcPr>
          <w:p w14:paraId="1F4A14A4" w14:textId="77777777" w:rsidR="008F56BD" w:rsidRDefault="008F56BD">
            <w:pPr>
              <w:spacing w:line="276" w:lineRule="auto"/>
              <w:rPr>
                <w:sz w:val="18"/>
                <w:szCs w:val="18"/>
              </w:rPr>
            </w:pPr>
          </w:p>
        </w:tc>
      </w:tr>
      <w:tr w:rsidR="009E5873" w14:paraId="5FD01F46" w14:textId="77777777" w:rsidTr="002611B5">
        <w:trPr>
          <w:trHeight w:val="263"/>
        </w:trPr>
        <w:tc>
          <w:tcPr>
            <w:tcW w:w="1731" w:type="dxa"/>
            <w:tcBorders>
              <w:top w:val="nil"/>
              <w:left w:val="single" w:sz="4" w:space="0" w:color="auto"/>
              <w:bottom w:val="nil"/>
              <w:right w:val="single" w:sz="4" w:space="0" w:color="auto"/>
            </w:tcBorders>
          </w:tcPr>
          <w:p w14:paraId="311F4695" w14:textId="77777777" w:rsidR="009E5873" w:rsidRDefault="009E5873">
            <w:pPr>
              <w:spacing w:line="276" w:lineRule="auto"/>
              <w:rPr>
                <w:rFonts w:eastAsia="Arial Unicode MS"/>
                <w:sz w:val="18"/>
                <w:szCs w:val="18"/>
              </w:rPr>
            </w:pPr>
          </w:p>
        </w:tc>
        <w:tc>
          <w:tcPr>
            <w:tcW w:w="5352" w:type="dxa"/>
            <w:vMerge w:val="restart"/>
            <w:tcBorders>
              <w:top w:val="dotted" w:sz="4" w:space="0" w:color="auto"/>
              <w:left w:val="single" w:sz="4" w:space="0" w:color="auto"/>
              <w:right w:val="single" w:sz="4" w:space="0" w:color="auto"/>
            </w:tcBorders>
            <w:hideMark/>
          </w:tcPr>
          <w:p w14:paraId="6883244D" w14:textId="77777777" w:rsidR="009E5873" w:rsidRDefault="009E5873">
            <w:pPr>
              <w:spacing w:line="276" w:lineRule="auto"/>
              <w:ind w:left="145" w:hanging="145"/>
              <w:rPr>
                <w:sz w:val="18"/>
                <w:szCs w:val="18"/>
              </w:rPr>
            </w:pPr>
            <w:r>
              <w:rPr>
                <w:sz w:val="18"/>
                <w:szCs w:val="18"/>
              </w:rPr>
              <w:t xml:space="preserve">Cereals and pulses and their milled products, nuts, oil seeds, </w:t>
            </w:r>
          </w:p>
          <w:p w14:paraId="0A148B85" w14:textId="77777777" w:rsidR="009E5873" w:rsidRDefault="009E5873">
            <w:pPr>
              <w:spacing w:line="276" w:lineRule="auto"/>
              <w:ind w:left="145" w:hanging="145"/>
              <w:rPr>
                <w:sz w:val="18"/>
                <w:szCs w:val="18"/>
              </w:rPr>
            </w:pPr>
            <w:r>
              <w:rPr>
                <w:sz w:val="18"/>
                <w:szCs w:val="18"/>
              </w:rPr>
              <w:t>dried fruits and their products (insect disinfestation, reduce</w:t>
            </w:r>
          </w:p>
          <w:p w14:paraId="17E39347" w14:textId="51393639" w:rsidR="009E5873" w:rsidRDefault="009E5873" w:rsidP="008C78AA">
            <w:pPr>
              <w:spacing w:line="276" w:lineRule="auto"/>
              <w:ind w:left="145" w:hanging="145"/>
              <w:rPr>
                <w:sz w:val="18"/>
                <w:szCs w:val="18"/>
              </w:rPr>
            </w:pPr>
            <w:r>
              <w:rPr>
                <w:sz w:val="18"/>
                <w:szCs w:val="18"/>
              </w:rPr>
              <w:t>microbes)</w:t>
            </w:r>
          </w:p>
        </w:tc>
        <w:tc>
          <w:tcPr>
            <w:tcW w:w="1977" w:type="dxa"/>
            <w:tcBorders>
              <w:top w:val="dotted" w:sz="4" w:space="0" w:color="auto"/>
              <w:left w:val="single" w:sz="4" w:space="0" w:color="auto"/>
              <w:bottom w:val="nil"/>
              <w:right w:val="single" w:sz="4" w:space="0" w:color="auto"/>
            </w:tcBorders>
            <w:hideMark/>
          </w:tcPr>
          <w:p w14:paraId="1095D9C5" w14:textId="77777777" w:rsidR="009E5873" w:rsidRDefault="009E5873">
            <w:pPr>
              <w:spacing w:line="276" w:lineRule="auto"/>
              <w:rPr>
                <w:sz w:val="18"/>
                <w:szCs w:val="18"/>
              </w:rPr>
            </w:pPr>
            <w:r>
              <w:rPr>
                <w:sz w:val="18"/>
                <w:szCs w:val="18"/>
              </w:rPr>
              <w:t>0.25 to 5.0</w:t>
            </w:r>
          </w:p>
        </w:tc>
      </w:tr>
      <w:tr w:rsidR="009E5873" w14:paraId="5237B1B2" w14:textId="77777777" w:rsidTr="002611B5">
        <w:trPr>
          <w:trHeight w:val="263"/>
        </w:trPr>
        <w:tc>
          <w:tcPr>
            <w:tcW w:w="1731" w:type="dxa"/>
            <w:tcBorders>
              <w:top w:val="nil"/>
              <w:left w:val="single" w:sz="4" w:space="0" w:color="auto"/>
              <w:bottom w:val="nil"/>
              <w:right w:val="single" w:sz="4" w:space="0" w:color="auto"/>
            </w:tcBorders>
          </w:tcPr>
          <w:p w14:paraId="4E4CAFEC" w14:textId="77777777" w:rsidR="009E5873" w:rsidRDefault="009E5873">
            <w:pPr>
              <w:spacing w:line="276" w:lineRule="auto"/>
              <w:rPr>
                <w:rFonts w:eastAsia="Arial Unicode MS"/>
                <w:sz w:val="18"/>
                <w:szCs w:val="18"/>
              </w:rPr>
            </w:pPr>
          </w:p>
        </w:tc>
        <w:tc>
          <w:tcPr>
            <w:tcW w:w="5352" w:type="dxa"/>
            <w:vMerge/>
            <w:tcBorders>
              <w:left w:val="single" w:sz="4" w:space="0" w:color="auto"/>
              <w:right w:val="single" w:sz="4" w:space="0" w:color="auto"/>
            </w:tcBorders>
            <w:hideMark/>
          </w:tcPr>
          <w:p w14:paraId="6F05D55C" w14:textId="08243746" w:rsidR="009E5873" w:rsidRDefault="009E5873" w:rsidP="008C78AA">
            <w:pPr>
              <w:spacing w:line="276" w:lineRule="auto"/>
              <w:ind w:left="145" w:hanging="145"/>
              <w:rPr>
                <w:sz w:val="18"/>
                <w:szCs w:val="18"/>
              </w:rPr>
            </w:pPr>
          </w:p>
        </w:tc>
        <w:tc>
          <w:tcPr>
            <w:tcW w:w="1977" w:type="dxa"/>
            <w:tcBorders>
              <w:top w:val="nil"/>
              <w:left w:val="single" w:sz="4" w:space="0" w:color="auto"/>
              <w:bottom w:val="nil"/>
              <w:right w:val="single" w:sz="4" w:space="0" w:color="auto"/>
            </w:tcBorders>
          </w:tcPr>
          <w:p w14:paraId="4DD72873" w14:textId="77777777" w:rsidR="009E5873" w:rsidRDefault="009E5873">
            <w:pPr>
              <w:spacing w:line="276" w:lineRule="auto"/>
              <w:rPr>
                <w:sz w:val="18"/>
                <w:szCs w:val="18"/>
              </w:rPr>
            </w:pPr>
          </w:p>
        </w:tc>
      </w:tr>
      <w:tr w:rsidR="009E5873" w14:paraId="63480594" w14:textId="77777777" w:rsidTr="002611B5">
        <w:trPr>
          <w:trHeight w:val="263"/>
        </w:trPr>
        <w:tc>
          <w:tcPr>
            <w:tcW w:w="1731" w:type="dxa"/>
            <w:tcBorders>
              <w:top w:val="nil"/>
              <w:left w:val="single" w:sz="4" w:space="0" w:color="auto"/>
              <w:bottom w:val="nil"/>
              <w:right w:val="single" w:sz="4" w:space="0" w:color="auto"/>
            </w:tcBorders>
          </w:tcPr>
          <w:p w14:paraId="3DA8E569" w14:textId="77777777" w:rsidR="009E5873" w:rsidRDefault="009E5873">
            <w:pPr>
              <w:spacing w:line="276" w:lineRule="auto"/>
              <w:rPr>
                <w:rFonts w:eastAsia="Arial Unicode MS"/>
                <w:sz w:val="18"/>
                <w:szCs w:val="18"/>
              </w:rPr>
            </w:pPr>
          </w:p>
        </w:tc>
        <w:tc>
          <w:tcPr>
            <w:tcW w:w="5352" w:type="dxa"/>
            <w:vMerge/>
            <w:tcBorders>
              <w:left w:val="single" w:sz="4" w:space="0" w:color="auto"/>
              <w:bottom w:val="dotted" w:sz="4" w:space="0" w:color="auto"/>
              <w:right w:val="single" w:sz="4" w:space="0" w:color="auto"/>
            </w:tcBorders>
            <w:hideMark/>
          </w:tcPr>
          <w:p w14:paraId="1375CEA1" w14:textId="23F41204" w:rsidR="009E5873" w:rsidRDefault="009E5873">
            <w:pPr>
              <w:spacing w:line="276" w:lineRule="auto"/>
              <w:ind w:left="145" w:hanging="145"/>
              <w:rPr>
                <w:sz w:val="18"/>
                <w:szCs w:val="18"/>
              </w:rPr>
            </w:pPr>
          </w:p>
        </w:tc>
        <w:tc>
          <w:tcPr>
            <w:tcW w:w="1977" w:type="dxa"/>
            <w:tcBorders>
              <w:top w:val="nil"/>
              <w:left w:val="single" w:sz="4" w:space="0" w:color="auto"/>
              <w:bottom w:val="dotted" w:sz="4" w:space="0" w:color="auto"/>
              <w:right w:val="single" w:sz="4" w:space="0" w:color="auto"/>
            </w:tcBorders>
          </w:tcPr>
          <w:p w14:paraId="2984B607" w14:textId="77777777" w:rsidR="009E5873" w:rsidRDefault="009E5873">
            <w:pPr>
              <w:spacing w:line="276" w:lineRule="auto"/>
              <w:rPr>
                <w:sz w:val="18"/>
                <w:szCs w:val="18"/>
              </w:rPr>
            </w:pPr>
          </w:p>
        </w:tc>
      </w:tr>
      <w:tr w:rsidR="008F56BD" w14:paraId="7F30C69B" w14:textId="77777777" w:rsidTr="008F56BD">
        <w:trPr>
          <w:trHeight w:val="263"/>
        </w:trPr>
        <w:tc>
          <w:tcPr>
            <w:tcW w:w="1731" w:type="dxa"/>
            <w:tcBorders>
              <w:top w:val="nil"/>
              <w:left w:val="single" w:sz="4" w:space="0" w:color="auto"/>
              <w:bottom w:val="nil"/>
              <w:right w:val="single" w:sz="4" w:space="0" w:color="auto"/>
            </w:tcBorders>
          </w:tcPr>
          <w:p w14:paraId="5D0AF334"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0820F613" w14:textId="77777777" w:rsidR="008F56BD" w:rsidRDefault="008F56BD">
            <w:pPr>
              <w:spacing w:line="276" w:lineRule="auto"/>
              <w:ind w:left="145" w:hanging="145"/>
              <w:rPr>
                <w:sz w:val="18"/>
                <w:szCs w:val="18"/>
              </w:rPr>
            </w:pPr>
            <w:r>
              <w:rPr>
                <w:sz w:val="18"/>
                <w:szCs w:val="18"/>
              </w:rPr>
              <w:t>Aquatic products (fresh and frozen) (eliminate pathogens,</w:t>
            </w:r>
          </w:p>
        </w:tc>
        <w:tc>
          <w:tcPr>
            <w:tcW w:w="1977" w:type="dxa"/>
            <w:tcBorders>
              <w:top w:val="dotted" w:sz="4" w:space="0" w:color="auto"/>
              <w:left w:val="single" w:sz="4" w:space="0" w:color="auto"/>
              <w:bottom w:val="nil"/>
              <w:right w:val="single" w:sz="4" w:space="0" w:color="auto"/>
            </w:tcBorders>
            <w:hideMark/>
          </w:tcPr>
          <w:p w14:paraId="738CE4C1" w14:textId="77777777" w:rsidR="008F56BD" w:rsidRDefault="008F56BD">
            <w:pPr>
              <w:spacing w:line="276" w:lineRule="auto"/>
              <w:rPr>
                <w:sz w:val="18"/>
                <w:szCs w:val="18"/>
              </w:rPr>
            </w:pPr>
            <w:r>
              <w:rPr>
                <w:sz w:val="18"/>
                <w:szCs w:val="18"/>
              </w:rPr>
              <w:t>0.3 to 7.0</w:t>
            </w:r>
          </w:p>
        </w:tc>
      </w:tr>
      <w:tr w:rsidR="008F56BD" w14:paraId="7D7B4D10" w14:textId="77777777" w:rsidTr="008F56BD">
        <w:trPr>
          <w:trHeight w:val="263"/>
        </w:trPr>
        <w:tc>
          <w:tcPr>
            <w:tcW w:w="1731" w:type="dxa"/>
            <w:tcBorders>
              <w:top w:val="nil"/>
              <w:left w:val="single" w:sz="4" w:space="0" w:color="auto"/>
              <w:bottom w:val="nil"/>
              <w:right w:val="single" w:sz="4" w:space="0" w:color="auto"/>
            </w:tcBorders>
          </w:tcPr>
          <w:p w14:paraId="0D402A50"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71A3F83B" w14:textId="77777777" w:rsidR="008F56BD" w:rsidRDefault="008F56BD">
            <w:pPr>
              <w:spacing w:line="276" w:lineRule="auto"/>
              <w:ind w:left="145" w:hanging="145"/>
              <w:rPr>
                <w:sz w:val="18"/>
                <w:szCs w:val="18"/>
              </w:rPr>
            </w:pPr>
            <w:r>
              <w:rPr>
                <w:sz w:val="18"/>
                <w:szCs w:val="18"/>
              </w:rPr>
              <w:t>extend shelf-life, control of parasites)</w:t>
            </w:r>
          </w:p>
        </w:tc>
        <w:tc>
          <w:tcPr>
            <w:tcW w:w="1977" w:type="dxa"/>
            <w:tcBorders>
              <w:top w:val="nil"/>
              <w:left w:val="single" w:sz="4" w:space="0" w:color="auto"/>
              <w:bottom w:val="dotted" w:sz="4" w:space="0" w:color="auto"/>
              <w:right w:val="single" w:sz="4" w:space="0" w:color="auto"/>
            </w:tcBorders>
          </w:tcPr>
          <w:p w14:paraId="3A76DFFA" w14:textId="77777777" w:rsidR="008F56BD" w:rsidRDefault="008F56BD">
            <w:pPr>
              <w:spacing w:line="276" w:lineRule="auto"/>
              <w:rPr>
                <w:sz w:val="18"/>
                <w:szCs w:val="18"/>
              </w:rPr>
            </w:pPr>
          </w:p>
        </w:tc>
      </w:tr>
      <w:tr w:rsidR="008F56BD" w14:paraId="679245D9" w14:textId="77777777" w:rsidTr="008F56BD">
        <w:trPr>
          <w:trHeight w:val="263"/>
        </w:trPr>
        <w:tc>
          <w:tcPr>
            <w:tcW w:w="1731" w:type="dxa"/>
            <w:tcBorders>
              <w:top w:val="nil"/>
              <w:left w:val="single" w:sz="4" w:space="0" w:color="auto"/>
              <w:bottom w:val="nil"/>
              <w:right w:val="single" w:sz="4" w:space="0" w:color="auto"/>
            </w:tcBorders>
          </w:tcPr>
          <w:p w14:paraId="7E485772"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384F9B56" w14:textId="77777777" w:rsidR="008F56BD" w:rsidRDefault="008F56BD">
            <w:pPr>
              <w:spacing w:line="276" w:lineRule="auto"/>
              <w:ind w:left="145" w:hanging="145"/>
              <w:rPr>
                <w:sz w:val="18"/>
                <w:szCs w:val="18"/>
              </w:rPr>
            </w:pPr>
            <w:r>
              <w:rPr>
                <w:sz w:val="18"/>
                <w:szCs w:val="18"/>
              </w:rPr>
              <w:t xml:space="preserve">Meat and meat products, poultry (fresh and frozen) and eggs </w:t>
            </w:r>
          </w:p>
        </w:tc>
        <w:tc>
          <w:tcPr>
            <w:tcW w:w="1977" w:type="dxa"/>
            <w:tcBorders>
              <w:top w:val="dotted" w:sz="4" w:space="0" w:color="auto"/>
              <w:left w:val="single" w:sz="4" w:space="0" w:color="auto"/>
              <w:bottom w:val="nil"/>
              <w:right w:val="single" w:sz="4" w:space="0" w:color="auto"/>
            </w:tcBorders>
            <w:hideMark/>
          </w:tcPr>
          <w:p w14:paraId="610713DF" w14:textId="77777777" w:rsidR="008F56BD" w:rsidRDefault="008F56BD">
            <w:pPr>
              <w:spacing w:line="276" w:lineRule="auto"/>
              <w:rPr>
                <w:sz w:val="18"/>
                <w:szCs w:val="18"/>
              </w:rPr>
            </w:pPr>
            <w:r>
              <w:rPr>
                <w:sz w:val="18"/>
                <w:szCs w:val="18"/>
              </w:rPr>
              <w:t>0.3 to 7.0</w:t>
            </w:r>
          </w:p>
        </w:tc>
      </w:tr>
      <w:tr w:rsidR="008F56BD" w14:paraId="5292BEB7" w14:textId="77777777" w:rsidTr="008F56BD">
        <w:trPr>
          <w:trHeight w:val="263"/>
        </w:trPr>
        <w:tc>
          <w:tcPr>
            <w:tcW w:w="1731" w:type="dxa"/>
            <w:tcBorders>
              <w:top w:val="nil"/>
              <w:left w:val="single" w:sz="4" w:space="0" w:color="auto"/>
              <w:bottom w:val="nil"/>
              <w:right w:val="single" w:sz="4" w:space="0" w:color="auto"/>
            </w:tcBorders>
          </w:tcPr>
          <w:p w14:paraId="718E8EFD"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nil"/>
              <w:right w:val="single" w:sz="4" w:space="0" w:color="auto"/>
            </w:tcBorders>
            <w:hideMark/>
          </w:tcPr>
          <w:p w14:paraId="0510751A" w14:textId="77777777" w:rsidR="008F56BD" w:rsidRDefault="008F56BD">
            <w:pPr>
              <w:spacing w:line="276" w:lineRule="auto"/>
              <w:ind w:left="145" w:hanging="145"/>
              <w:rPr>
                <w:sz w:val="18"/>
                <w:szCs w:val="18"/>
              </w:rPr>
            </w:pPr>
            <w:r>
              <w:rPr>
                <w:sz w:val="18"/>
                <w:szCs w:val="18"/>
              </w:rPr>
              <w:t>(for pathogenic microorganisms, shelf-life extension, control of</w:t>
            </w:r>
          </w:p>
        </w:tc>
        <w:tc>
          <w:tcPr>
            <w:tcW w:w="1977" w:type="dxa"/>
            <w:tcBorders>
              <w:top w:val="nil"/>
              <w:left w:val="single" w:sz="4" w:space="0" w:color="auto"/>
              <w:bottom w:val="nil"/>
              <w:right w:val="single" w:sz="4" w:space="0" w:color="auto"/>
            </w:tcBorders>
          </w:tcPr>
          <w:p w14:paraId="63691D37" w14:textId="77777777" w:rsidR="008F56BD" w:rsidRDefault="008F56BD">
            <w:pPr>
              <w:spacing w:line="276" w:lineRule="auto"/>
              <w:rPr>
                <w:sz w:val="18"/>
                <w:szCs w:val="18"/>
              </w:rPr>
            </w:pPr>
          </w:p>
        </w:tc>
      </w:tr>
      <w:tr w:rsidR="008F56BD" w14:paraId="10ADC460" w14:textId="77777777" w:rsidTr="008F56BD">
        <w:trPr>
          <w:trHeight w:val="263"/>
        </w:trPr>
        <w:tc>
          <w:tcPr>
            <w:tcW w:w="1731" w:type="dxa"/>
            <w:tcBorders>
              <w:top w:val="nil"/>
              <w:left w:val="single" w:sz="4" w:space="0" w:color="auto"/>
              <w:bottom w:val="nil"/>
              <w:right w:val="single" w:sz="4" w:space="0" w:color="auto"/>
            </w:tcBorders>
          </w:tcPr>
          <w:p w14:paraId="62AB565C"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621CE621" w14:textId="77777777" w:rsidR="008F56BD" w:rsidRDefault="008F56BD">
            <w:pPr>
              <w:spacing w:line="276" w:lineRule="auto"/>
              <w:ind w:left="145" w:hanging="145"/>
              <w:rPr>
                <w:sz w:val="18"/>
                <w:szCs w:val="18"/>
              </w:rPr>
            </w:pPr>
            <w:r>
              <w:rPr>
                <w:sz w:val="18"/>
                <w:szCs w:val="18"/>
              </w:rPr>
              <w:t>parasites)</w:t>
            </w:r>
          </w:p>
        </w:tc>
        <w:tc>
          <w:tcPr>
            <w:tcW w:w="1977" w:type="dxa"/>
            <w:tcBorders>
              <w:top w:val="nil"/>
              <w:left w:val="single" w:sz="4" w:space="0" w:color="auto"/>
              <w:bottom w:val="dotted" w:sz="4" w:space="0" w:color="auto"/>
              <w:right w:val="single" w:sz="4" w:space="0" w:color="auto"/>
            </w:tcBorders>
          </w:tcPr>
          <w:p w14:paraId="09B5709C" w14:textId="77777777" w:rsidR="008F56BD" w:rsidRDefault="008F56BD">
            <w:pPr>
              <w:spacing w:line="276" w:lineRule="auto"/>
              <w:rPr>
                <w:sz w:val="18"/>
                <w:szCs w:val="18"/>
              </w:rPr>
            </w:pPr>
          </w:p>
        </w:tc>
      </w:tr>
      <w:tr w:rsidR="008F56BD" w14:paraId="63BF41D4" w14:textId="77777777" w:rsidTr="008F56BD">
        <w:trPr>
          <w:trHeight w:val="263"/>
        </w:trPr>
        <w:tc>
          <w:tcPr>
            <w:tcW w:w="1731" w:type="dxa"/>
            <w:tcBorders>
              <w:top w:val="nil"/>
              <w:left w:val="single" w:sz="4" w:space="0" w:color="auto"/>
              <w:bottom w:val="nil"/>
              <w:right w:val="single" w:sz="4" w:space="0" w:color="auto"/>
            </w:tcBorders>
          </w:tcPr>
          <w:p w14:paraId="75535716"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1940DA62" w14:textId="77777777" w:rsidR="008F56BD" w:rsidRDefault="008F56BD">
            <w:pPr>
              <w:spacing w:line="276" w:lineRule="auto"/>
              <w:ind w:left="145" w:hanging="145"/>
              <w:rPr>
                <w:sz w:val="18"/>
                <w:szCs w:val="18"/>
              </w:rPr>
            </w:pPr>
            <w:r>
              <w:rPr>
                <w:sz w:val="18"/>
                <w:szCs w:val="18"/>
              </w:rPr>
              <w:t xml:space="preserve">Dry vegetables, herbs, spices, tea, coffee, cocoa and plant </w:t>
            </w:r>
          </w:p>
        </w:tc>
        <w:tc>
          <w:tcPr>
            <w:tcW w:w="1977" w:type="dxa"/>
            <w:tcBorders>
              <w:top w:val="dotted" w:sz="4" w:space="0" w:color="auto"/>
              <w:left w:val="single" w:sz="4" w:space="0" w:color="auto"/>
              <w:bottom w:val="nil"/>
              <w:right w:val="single" w:sz="4" w:space="0" w:color="auto"/>
            </w:tcBorders>
            <w:hideMark/>
          </w:tcPr>
          <w:p w14:paraId="6806B0F3" w14:textId="77777777" w:rsidR="008F56BD" w:rsidRDefault="008F56BD">
            <w:pPr>
              <w:spacing w:line="276" w:lineRule="auto"/>
              <w:rPr>
                <w:sz w:val="18"/>
                <w:szCs w:val="18"/>
              </w:rPr>
            </w:pPr>
            <w:r>
              <w:rPr>
                <w:sz w:val="18"/>
                <w:szCs w:val="18"/>
              </w:rPr>
              <w:t>0.3 to 14.0</w:t>
            </w:r>
          </w:p>
        </w:tc>
      </w:tr>
      <w:tr w:rsidR="008F56BD" w14:paraId="1D1FE1B8" w14:textId="77777777" w:rsidTr="008F56BD">
        <w:trPr>
          <w:trHeight w:val="263"/>
        </w:trPr>
        <w:tc>
          <w:tcPr>
            <w:tcW w:w="1731" w:type="dxa"/>
            <w:tcBorders>
              <w:top w:val="nil"/>
              <w:left w:val="single" w:sz="4" w:space="0" w:color="auto"/>
              <w:bottom w:val="nil"/>
              <w:right w:val="single" w:sz="4" w:space="0" w:color="auto"/>
            </w:tcBorders>
          </w:tcPr>
          <w:p w14:paraId="3B4D3CE7"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1D26506C" w14:textId="77777777" w:rsidR="008F56BD" w:rsidRDefault="008F56BD">
            <w:pPr>
              <w:spacing w:line="276" w:lineRule="auto"/>
              <w:ind w:left="145" w:hanging="145"/>
              <w:rPr>
                <w:sz w:val="18"/>
                <w:szCs w:val="18"/>
              </w:rPr>
            </w:pPr>
            <w:r>
              <w:rPr>
                <w:sz w:val="18"/>
                <w:szCs w:val="18"/>
              </w:rPr>
              <w:t>products (eliminate pathogens, insect disinfestation)</w:t>
            </w:r>
          </w:p>
        </w:tc>
        <w:tc>
          <w:tcPr>
            <w:tcW w:w="1977" w:type="dxa"/>
            <w:tcBorders>
              <w:top w:val="nil"/>
              <w:left w:val="single" w:sz="4" w:space="0" w:color="auto"/>
              <w:bottom w:val="dotted" w:sz="4" w:space="0" w:color="auto"/>
              <w:right w:val="single" w:sz="4" w:space="0" w:color="auto"/>
            </w:tcBorders>
          </w:tcPr>
          <w:p w14:paraId="61E8054A" w14:textId="77777777" w:rsidR="008F56BD" w:rsidRDefault="008F56BD">
            <w:pPr>
              <w:spacing w:line="276" w:lineRule="auto"/>
              <w:rPr>
                <w:sz w:val="18"/>
                <w:szCs w:val="18"/>
              </w:rPr>
            </w:pPr>
          </w:p>
        </w:tc>
      </w:tr>
      <w:tr w:rsidR="008F56BD" w14:paraId="281A204C" w14:textId="77777777" w:rsidTr="008F56BD">
        <w:trPr>
          <w:trHeight w:val="263"/>
        </w:trPr>
        <w:tc>
          <w:tcPr>
            <w:tcW w:w="1731" w:type="dxa"/>
            <w:tcBorders>
              <w:top w:val="nil"/>
              <w:left w:val="single" w:sz="4" w:space="0" w:color="auto"/>
              <w:bottom w:val="nil"/>
              <w:right w:val="single" w:sz="4" w:space="0" w:color="auto"/>
            </w:tcBorders>
          </w:tcPr>
          <w:p w14:paraId="6B2310A8"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3B42DB71" w14:textId="77777777" w:rsidR="008F56BD" w:rsidRDefault="008F56BD">
            <w:pPr>
              <w:spacing w:line="276" w:lineRule="auto"/>
              <w:ind w:left="145" w:hanging="145"/>
              <w:rPr>
                <w:sz w:val="18"/>
                <w:szCs w:val="18"/>
              </w:rPr>
            </w:pPr>
            <w:r>
              <w:rPr>
                <w:sz w:val="18"/>
                <w:szCs w:val="18"/>
              </w:rPr>
              <w:t xml:space="preserve">Dried food of animal origin (insect disinfestation, control of </w:t>
            </w:r>
          </w:p>
        </w:tc>
        <w:tc>
          <w:tcPr>
            <w:tcW w:w="1977" w:type="dxa"/>
            <w:tcBorders>
              <w:top w:val="dotted" w:sz="4" w:space="0" w:color="auto"/>
              <w:left w:val="single" w:sz="4" w:space="0" w:color="auto"/>
              <w:bottom w:val="nil"/>
              <w:right w:val="single" w:sz="4" w:space="0" w:color="auto"/>
            </w:tcBorders>
            <w:hideMark/>
          </w:tcPr>
          <w:p w14:paraId="0EE952CC" w14:textId="77777777" w:rsidR="008F56BD" w:rsidRDefault="008F56BD">
            <w:pPr>
              <w:spacing w:line="276" w:lineRule="auto"/>
              <w:rPr>
                <w:sz w:val="18"/>
                <w:szCs w:val="18"/>
              </w:rPr>
            </w:pPr>
            <w:r>
              <w:rPr>
                <w:sz w:val="18"/>
                <w:szCs w:val="18"/>
              </w:rPr>
              <w:t>0.3 to 7.0</w:t>
            </w:r>
          </w:p>
        </w:tc>
      </w:tr>
      <w:tr w:rsidR="008F56BD" w14:paraId="6DBBFD71" w14:textId="77777777" w:rsidTr="008F56BD">
        <w:trPr>
          <w:trHeight w:val="263"/>
        </w:trPr>
        <w:tc>
          <w:tcPr>
            <w:tcW w:w="1731" w:type="dxa"/>
            <w:tcBorders>
              <w:top w:val="nil"/>
              <w:left w:val="single" w:sz="4" w:space="0" w:color="auto"/>
              <w:bottom w:val="nil"/>
              <w:right w:val="single" w:sz="4" w:space="0" w:color="auto"/>
            </w:tcBorders>
          </w:tcPr>
          <w:p w14:paraId="0D55C254"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2E0CC544" w14:textId="77777777" w:rsidR="008F56BD" w:rsidRDefault="008F56BD">
            <w:pPr>
              <w:spacing w:line="276" w:lineRule="auto"/>
              <w:ind w:left="145" w:hanging="145"/>
              <w:rPr>
                <w:sz w:val="18"/>
                <w:szCs w:val="18"/>
              </w:rPr>
            </w:pPr>
            <w:r>
              <w:rPr>
                <w:sz w:val="18"/>
                <w:szCs w:val="18"/>
              </w:rPr>
              <w:t>molds, pathogenic microorganisms)</w:t>
            </w:r>
          </w:p>
        </w:tc>
        <w:tc>
          <w:tcPr>
            <w:tcW w:w="1977" w:type="dxa"/>
            <w:tcBorders>
              <w:top w:val="nil"/>
              <w:left w:val="single" w:sz="4" w:space="0" w:color="auto"/>
              <w:bottom w:val="dotted" w:sz="4" w:space="0" w:color="auto"/>
              <w:right w:val="single" w:sz="4" w:space="0" w:color="auto"/>
            </w:tcBorders>
          </w:tcPr>
          <w:p w14:paraId="3AF896BF" w14:textId="77777777" w:rsidR="008F56BD" w:rsidRDefault="008F56BD">
            <w:pPr>
              <w:spacing w:line="276" w:lineRule="auto"/>
              <w:rPr>
                <w:sz w:val="18"/>
                <w:szCs w:val="18"/>
              </w:rPr>
            </w:pPr>
          </w:p>
        </w:tc>
      </w:tr>
      <w:tr w:rsidR="008F56BD" w14:paraId="5FEDB891" w14:textId="77777777" w:rsidTr="008F56BD">
        <w:trPr>
          <w:trHeight w:val="263"/>
        </w:trPr>
        <w:tc>
          <w:tcPr>
            <w:tcW w:w="1731" w:type="dxa"/>
            <w:tcBorders>
              <w:top w:val="nil"/>
              <w:left w:val="single" w:sz="4" w:space="0" w:color="auto"/>
              <w:bottom w:val="nil"/>
              <w:right w:val="single" w:sz="4" w:space="0" w:color="auto"/>
            </w:tcBorders>
          </w:tcPr>
          <w:p w14:paraId="5FF6D302"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1B09D06A" w14:textId="77777777" w:rsidR="008F56BD" w:rsidRDefault="008F56BD">
            <w:pPr>
              <w:spacing w:line="276" w:lineRule="auto"/>
              <w:ind w:left="145" w:hanging="145"/>
              <w:rPr>
                <w:sz w:val="18"/>
                <w:szCs w:val="18"/>
              </w:rPr>
            </w:pPr>
            <w:r>
              <w:rPr>
                <w:sz w:val="18"/>
                <w:szCs w:val="18"/>
              </w:rPr>
              <w:t xml:space="preserve">Ethnic foods, military rations, space foods, RTC and RTE foods </w:t>
            </w:r>
          </w:p>
        </w:tc>
        <w:tc>
          <w:tcPr>
            <w:tcW w:w="1977" w:type="dxa"/>
            <w:tcBorders>
              <w:top w:val="dotted" w:sz="4" w:space="0" w:color="auto"/>
              <w:left w:val="single" w:sz="4" w:space="0" w:color="auto"/>
              <w:bottom w:val="nil"/>
              <w:right w:val="single" w:sz="4" w:space="0" w:color="auto"/>
            </w:tcBorders>
            <w:hideMark/>
          </w:tcPr>
          <w:p w14:paraId="628D406E" w14:textId="77777777" w:rsidR="008F56BD" w:rsidRDefault="008F56BD">
            <w:pPr>
              <w:spacing w:line="276" w:lineRule="auto"/>
              <w:rPr>
                <w:sz w:val="18"/>
                <w:szCs w:val="18"/>
              </w:rPr>
            </w:pPr>
            <w:r>
              <w:rPr>
                <w:sz w:val="18"/>
                <w:szCs w:val="18"/>
              </w:rPr>
              <w:t>0.25 to 25.0</w:t>
            </w:r>
          </w:p>
        </w:tc>
      </w:tr>
      <w:tr w:rsidR="008F56BD" w14:paraId="64377146" w14:textId="77777777" w:rsidTr="008F56BD">
        <w:trPr>
          <w:trHeight w:val="263"/>
        </w:trPr>
        <w:tc>
          <w:tcPr>
            <w:tcW w:w="1731" w:type="dxa"/>
            <w:tcBorders>
              <w:top w:val="nil"/>
              <w:left w:val="single" w:sz="4" w:space="0" w:color="auto"/>
              <w:bottom w:val="single" w:sz="4" w:space="0" w:color="auto"/>
              <w:right w:val="single" w:sz="4" w:space="0" w:color="auto"/>
            </w:tcBorders>
          </w:tcPr>
          <w:p w14:paraId="3DCE6F23"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single" w:sz="4" w:space="0" w:color="auto"/>
              <w:right w:val="single" w:sz="4" w:space="0" w:color="auto"/>
            </w:tcBorders>
            <w:hideMark/>
          </w:tcPr>
          <w:p w14:paraId="338A711A" w14:textId="77777777" w:rsidR="008F56BD" w:rsidRDefault="008F56BD">
            <w:pPr>
              <w:spacing w:line="276" w:lineRule="auto"/>
              <w:ind w:left="145" w:hanging="145"/>
              <w:rPr>
                <w:sz w:val="18"/>
                <w:szCs w:val="18"/>
              </w:rPr>
            </w:pPr>
            <w:r>
              <w:rPr>
                <w:sz w:val="18"/>
                <w:szCs w:val="18"/>
              </w:rPr>
              <w:t>(quarantine, reduce microbes, sterilise)</w:t>
            </w:r>
          </w:p>
        </w:tc>
        <w:tc>
          <w:tcPr>
            <w:tcW w:w="1977" w:type="dxa"/>
            <w:tcBorders>
              <w:top w:val="nil"/>
              <w:left w:val="single" w:sz="4" w:space="0" w:color="auto"/>
              <w:bottom w:val="single" w:sz="4" w:space="0" w:color="auto"/>
              <w:right w:val="single" w:sz="4" w:space="0" w:color="auto"/>
            </w:tcBorders>
          </w:tcPr>
          <w:p w14:paraId="6121AEB0" w14:textId="77777777" w:rsidR="008F56BD" w:rsidRDefault="008F56BD">
            <w:pPr>
              <w:spacing w:line="276" w:lineRule="auto"/>
              <w:rPr>
                <w:sz w:val="18"/>
                <w:szCs w:val="18"/>
              </w:rPr>
            </w:pPr>
          </w:p>
        </w:tc>
      </w:tr>
      <w:tr w:rsidR="008F56BD" w14:paraId="4880748B" w14:textId="77777777" w:rsidTr="008F56BD">
        <w:trPr>
          <w:trHeight w:val="273"/>
        </w:trPr>
        <w:tc>
          <w:tcPr>
            <w:tcW w:w="1731" w:type="dxa"/>
            <w:tcBorders>
              <w:top w:val="single" w:sz="4" w:space="0" w:color="auto"/>
              <w:left w:val="single" w:sz="4" w:space="0" w:color="auto"/>
              <w:bottom w:val="nil"/>
              <w:right w:val="single" w:sz="4" w:space="0" w:color="auto"/>
            </w:tcBorders>
            <w:hideMark/>
          </w:tcPr>
          <w:p w14:paraId="3E017461" w14:textId="77777777" w:rsidR="008F56BD" w:rsidRDefault="008F56BD">
            <w:pPr>
              <w:spacing w:line="276" w:lineRule="auto"/>
              <w:rPr>
                <w:rFonts w:eastAsia="Arial Unicode MS"/>
                <w:sz w:val="18"/>
                <w:szCs w:val="18"/>
                <w:highlight w:val="yellow"/>
              </w:rPr>
            </w:pPr>
            <w:r>
              <w:rPr>
                <w:rFonts w:eastAsia="Arial Unicode MS"/>
                <w:sz w:val="18"/>
                <w:szCs w:val="18"/>
              </w:rPr>
              <w:t>Malaysia</w:t>
            </w:r>
          </w:p>
        </w:tc>
        <w:tc>
          <w:tcPr>
            <w:tcW w:w="5352" w:type="dxa"/>
            <w:tcBorders>
              <w:top w:val="single" w:sz="4" w:space="0" w:color="auto"/>
              <w:left w:val="single" w:sz="4" w:space="0" w:color="auto"/>
              <w:bottom w:val="dotted" w:sz="4" w:space="0" w:color="auto"/>
              <w:right w:val="single" w:sz="4" w:space="0" w:color="auto"/>
            </w:tcBorders>
            <w:hideMark/>
          </w:tcPr>
          <w:p w14:paraId="58DA80EF" w14:textId="77777777" w:rsidR="008F56BD" w:rsidRDefault="008F56BD">
            <w:pPr>
              <w:spacing w:line="276" w:lineRule="auto"/>
              <w:ind w:left="113" w:hanging="113"/>
              <w:rPr>
                <w:sz w:val="18"/>
                <w:szCs w:val="18"/>
              </w:rPr>
            </w:pPr>
            <w:r>
              <w:rPr>
                <w:sz w:val="18"/>
                <w:szCs w:val="18"/>
              </w:rPr>
              <w:t xml:space="preserve">Bulbs, roots and tubers (sprout inhibition) </w:t>
            </w:r>
          </w:p>
        </w:tc>
        <w:tc>
          <w:tcPr>
            <w:tcW w:w="1977" w:type="dxa"/>
            <w:tcBorders>
              <w:top w:val="single" w:sz="4" w:space="0" w:color="auto"/>
              <w:left w:val="single" w:sz="4" w:space="0" w:color="auto"/>
              <w:bottom w:val="dotted" w:sz="4" w:space="0" w:color="auto"/>
              <w:right w:val="single" w:sz="4" w:space="0" w:color="auto"/>
            </w:tcBorders>
            <w:hideMark/>
          </w:tcPr>
          <w:p w14:paraId="5191268B" w14:textId="77777777" w:rsidR="008F56BD" w:rsidRDefault="008F56BD">
            <w:pPr>
              <w:spacing w:line="276" w:lineRule="auto"/>
              <w:rPr>
                <w:sz w:val="18"/>
                <w:szCs w:val="18"/>
              </w:rPr>
            </w:pPr>
            <w:r>
              <w:rPr>
                <w:sz w:val="18"/>
                <w:szCs w:val="18"/>
              </w:rPr>
              <w:t>0.05 to 0.2</w:t>
            </w:r>
          </w:p>
        </w:tc>
      </w:tr>
      <w:tr w:rsidR="008F56BD" w14:paraId="17A9038A" w14:textId="77777777" w:rsidTr="008F56BD">
        <w:trPr>
          <w:trHeight w:val="263"/>
        </w:trPr>
        <w:tc>
          <w:tcPr>
            <w:tcW w:w="1731" w:type="dxa"/>
            <w:tcBorders>
              <w:top w:val="nil"/>
              <w:left w:val="single" w:sz="4" w:space="0" w:color="auto"/>
              <w:bottom w:val="nil"/>
              <w:right w:val="single" w:sz="4" w:space="0" w:color="auto"/>
            </w:tcBorders>
          </w:tcPr>
          <w:p w14:paraId="0303CE5E"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4410A5C5" w14:textId="77777777" w:rsidR="008F56BD" w:rsidRPr="004F742E" w:rsidRDefault="008F56BD">
            <w:pPr>
              <w:spacing w:line="276" w:lineRule="auto"/>
              <w:ind w:left="113" w:hanging="113"/>
              <w:rPr>
                <w:sz w:val="18"/>
                <w:szCs w:val="18"/>
              </w:rPr>
            </w:pPr>
            <w:r w:rsidRPr="004F742E">
              <w:rPr>
                <w:sz w:val="18"/>
                <w:szCs w:val="18"/>
              </w:rPr>
              <w:t xml:space="preserve">Fresh fruits and vegetables (delay ripening, shelf life </w:t>
            </w:r>
          </w:p>
        </w:tc>
        <w:tc>
          <w:tcPr>
            <w:tcW w:w="1977" w:type="dxa"/>
            <w:tcBorders>
              <w:top w:val="dotted" w:sz="4" w:space="0" w:color="auto"/>
              <w:left w:val="single" w:sz="4" w:space="0" w:color="auto"/>
              <w:bottom w:val="nil"/>
              <w:right w:val="single" w:sz="4" w:space="0" w:color="auto"/>
            </w:tcBorders>
            <w:hideMark/>
          </w:tcPr>
          <w:p w14:paraId="4DB44432" w14:textId="77777777" w:rsidR="008F56BD" w:rsidRDefault="008F56BD">
            <w:pPr>
              <w:spacing w:line="276" w:lineRule="auto"/>
              <w:ind w:left="113" w:hanging="113"/>
              <w:rPr>
                <w:sz w:val="18"/>
                <w:szCs w:val="18"/>
              </w:rPr>
            </w:pPr>
            <w:r>
              <w:rPr>
                <w:sz w:val="18"/>
                <w:szCs w:val="18"/>
              </w:rPr>
              <w:t>0.15 to 2.5</w:t>
            </w:r>
          </w:p>
        </w:tc>
      </w:tr>
      <w:tr w:rsidR="008F56BD" w14:paraId="20CC71D2" w14:textId="77777777" w:rsidTr="008F56BD">
        <w:trPr>
          <w:trHeight w:val="263"/>
        </w:trPr>
        <w:tc>
          <w:tcPr>
            <w:tcW w:w="1731" w:type="dxa"/>
            <w:tcBorders>
              <w:top w:val="nil"/>
              <w:left w:val="single" w:sz="4" w:space="0" w:color="auto"/>
              <w:bottom w:val="nil"/>
              <w:right w:val="single" w:sz="4" w:space="0" w:color="auto"/>
            </w:tcBorders>
          </w:tcPr>
          <w:p w14:paraId="49F982A6"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0415F905" w14:textId="77777777" w:rsidR="008F56BD" w:rsidRDefault="008F56BD">
            <w:pPr>
              <w:spacing w:line="276" w:lineRule="auto"/>
              <w:ind w:left="113" w:hanging="113"/>
              <w:rPr>
                <w:sz w:val="18"/>
                <w:szCs w:val="18"/>
              </w:rPr>
            </w:pPr>
            <w:r>
              <w:rPr>
                <w:sz w:val="18"/>
                <w:szCs w:val="18"/>
              </w:rPr>
              <w:t>extension, quarantine control)</w:t>
            </w:r>
          </w:p>
        </w:tc>
        <w:tc>
          <w:tcPr>
            <w:tcW w:w="1977" w:type="dxa"/>
            <w:tcBorders>
              <w:top w:val="nil"/>
              <w:left w:val="single" w:sz="4" w:space="0" w:color="auto"/>
              <w:bottom w:val="dotted" w:sz="4" w:space="0" w:color="auto"/>
              <w:right w:val="single" w:sz="4" w:space="0" w:color="auto"/>
            </w:tcBorders>
          </w:tcPr>
          <w:p w14:paraId="59FED8B5" w14:textId="77777777" w:rsidR="008F56BD" w:rsidRDefault="008F56BD">
            <w:pPr>
              <w:spacing w:line="276" w:lineRule="auto"/>
              <w:ind w:left="113" w:hanging="113"/>
              <w:rPr>
                <w:sz w:val="18"/>
                <w:szCs w:val="18"/>
              </w:rPr>
            </w:pPr>
          </w:p>
        </w:tc>
      </w:tr>
      <w:tr w:rsidR="008F56BD" w14:paraId="7BD3B9E5" w14:textId="77777777" w:rsidTr="008F56BD">
        <w:trPr>
          <w:trHeight w:val="263"/>
        </w:trPr>
        <w:tc>
          <w:tcPr>
            <w:tcW w:w="1731" w:type="dxa"/>
            <w:tcBorders>
              <w:top w:val="nil"/>
              <w:left w:val="single" w:sz="4" w:space="0" w:color="auto"/>
              <w:bottom w:val="nil"/>
              <w:right w:val="single" w:sz="4" w:space="0" w:color="auto"/>
            </w:tcBorders>
          </w:tcPr>
          <w:p w14:paraId="5E374580"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097232E5" w14:textId="77777777" w:rsidR="008F56BD" w:rsidRDefault="008F56BD">
            <w:pPr>
              <w:spacing w:line="276" w:lineRule="auto"/>
              <w:ind w:left="113" w:hanging="113"/>
              <w:rPr>
                <w:sz w:val="18"/>
                <w:szCs w:val="18"/>
              </w:rPr>
            </w:pPr>
            <w:r>
              <w:rPr>
                <w:sz w:val="18"/>
                <w:szCs w:val="18"/>
              </w:rPr>
              <w:t xml:space="preserve">Cereal and their milled products, nuts, oil seeds, pulses, dried </w:t>
            </w:r>
          </w:p>
        </w:tc>
        <w:tc>
          <w:tcPr>
            <w:tcW w:w="1977" w:type="dxa"/>
            <w:tcBorders>
              <w:top w:val="dotted" w:sz="4" w:space="0" w:color="auto"/>
              <w:left w:val="single" w:sz="4" w:space="0" w:color="auto"/>
              <w:bottom w:val="nil"/>
              <w:right w:val="single" w:sz="4" w:space="0" w:color="auto"/>
            </w:tcBorders>
            <w:hideMark/>
          </w:tcPr>
          <w:p w14:paraId="7D17242C" w14:textId="77777777" w:rsidR="008F56BD" w:rsidRDefault="008F56BD">
            <w:pPr>
              <w:spacing w:line="276" w:lineRule="auto"/>
              <w:ind w:left="113" w:hanging="113"/>
              <w:rPr>
                <w:sz w:val="18"/>
                <w:szCs w:val="18"/>
              </w:rPr>
            </w:pPr>
            <w:r>
              <w:rPr>
                <w:sz w:val="18"/>
                <w:szCs w:val="18"/>
              </w:rPr>
              <w:t>0.1 to 5.0</w:t>
            </w:r>
          </w:p>
        </w:tc>
      </w:tr>
      <w:tr w:rsidR="008F56BD" w14:paraId="324430B5" w14:textId="77777777" w:rsidTr="008F56BD">
        <w:trPr>
          <w:trHeight w:val="263"/>
        </w:trPr>
        <w:tc>
          <w:tcPr>
            <w:tcW w:w="1731" w:type="dxa"/>
            <w:tcBorders>
              <w:top w:val="nil"/>
              <w:left w:val="single" w:sz="4" w:space="0" w:color="auto"/>
              <w:bottom w:val="nil"/>
              <w:right w:val="single" w:sz="4" w:space="0" w:color="auto"/>
            </w:tcBorders>
          </w:tcPr>
          <w:p w14:paraId="048F8799"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nil"/>
              <w:right w:val="single" w:sz="4" w:space="0" w:color="auto"/>
            </w:tcBorders>
            <w:hideMark/>
          </w:tcPr>
          <w:p w14:paraId="1151A05F" w14:textId="77777777" w:rsidR="008F56BD" w:rsidRDefault="008F56BD">
            <w:pPr>
              <w:spacing w:line="276" w:lineRule="auto"/>
              <w:ind w:left="113" w:hanging="113"/>
              <w:rPr>
                <w:sz w:val="18"/>
                <w:szCs w:val="18"/>
              </w:rPr>
            </w:pPr>
            <w:r>
              <w:rPr>
                <w:sz w:val="18"/>
                <w:szCs w:val="18"/>
              </w:rPr>
              <w:t>fruits and their products (insect disinfestation, to reduce</w:t>
            </w:r>
          </w:p>
        </w:tc>
        <w:tc>
          <w:tcPr>
            <w:tcW w:w="1977" w:type="dxa"/>
            <w:tcBorders>
              <w:top w:val="nil"/>
              <w:left w:val="single" w:sz="4" w:space="0" w:color="auto"/>
              <w:bottom w:val="nil"/>
              <w:right w:val="single" w:sz="4" w:space="0" w:color="auto"/>
            </w:tcBorders>
          </w:tcPr>
          <w:p w14:paraId="0382214D" w14:textId="77777777" w:rsidR="008F56BD" w:rsidRDefault="008F56BD">
            <w:pPr>
              <w:spacing w:line="276" w:lineRule="auto"/>
              <w:ind w:left="113" w:hanging="113"/>
              <w:rPr>
                <w:sz w:val="18"/>
                <w:szCs w:val="18"/>
              </w:rPr>
            </w:pPr>
          </w:p>
        </w:tc>
      </w:tr>
      <w:tr w:rsidR="008F56BD" w14:paraId="0FC1CD7D" w14:textId="77777777" w:rsidTr="008F56BD">
        <w:trPr>
          <w:trHeight w:val="263"/>
        </w:trPr>
        <w:tc>
          <w:tcPr>
            <w:tcW w:w="1731" w:type="dxa"/>
            <w:tcBorders>
              <w:top w:val="nil"/>
              <w:left w:val="single" w:sz="4" w:space="0" w:color="auto"/>
              <w:bottom w:val="nil"/>
              <w:right w:val="single" w:sz="4" w:space="0" w:color="auto"/>
            </w:tcBorders>
          </w:tcPr>
          <w:p w14:paraId="7D0D7042"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07989262" w14:textId="77777777" w:rsidR="008F56BD" w:rsidRDefault="008F56BD">
            <w:pPr>
              <w:spacing w:line="276" w:lineRule="auto"/>
              <w:ind w:left="113" w:hanging="113"/>
              <w:rPr>
                <w:sz w:val="18"/>
                <w:szCs w:val="18"/>
              </w:rPr>
            </w:pPr>
            <w:r>
              <w:rPr>
                <w:sz w:val="18"/>
                <w:szCs w:val="18"/>
              </w:rPr>
              <w:t>microbial load, sprout inhibition)</w:t>
            </w:r>
          </w:p>
        </w:tc>
        <w:tc>
          <w:tcPr>
            <w:tcW w:w="1977" w:type="dxa"/>
            <w:tcBorders>
              <w:top w:val="nil"/>
              <w:left w:val="single" w:sz="4" w:space="0" w:color="auto"/>
              <w:bottom w:val="dotted" w:sz="4" w:space="0" w:color="auto"/>
              <w:right w:val="single" w:sz="4" w:space="0" w:color="auto"/>
            </w:tcBorders>
          </w:tcPr>
          <w:p w14:paraId="03347D91" w14:textId="77777777" w:rsidR="008F56BD" w:rsidRDefault="008F56BD">
            <w:pPr>
              <w:spacing w:line="276" w:lineRule="auto"/>
              <w:ind w:left="113" w:hanging="113"/>
              <w:rPr>
                <w:sz w:val="18"/>
                <w:szCs w:val="18"/>
              </w:rPr>
            </w:pPr>
          </w:p>
        </w:tc>
      </w:tr>
      <w:tr w:rsidR="008F56BD" w14:paraId="02EA1C60" w14:textId="77777777" w:rsidTr="00B006F5">
        <w:trPr>
          <w:trHeight w:val="263"/>
        </w:trPr>
        <w:tc>
          <w:tcPr>
            <w:tcW w:w="1731" w:type="dxa"/>
            <w:tcBorders>
              <w:top w:val="nil"/>
              <w:left w:val="single" w:sz="4" w:space="0" w:color="auto"/>
              <w:bottom w:val="single" w:sz="4" w:space="0" w:color="auto"/>
              <w:right w:val="single" w:sz="4" w:space="0" w:color="auto"/>
            </w:tcBorders>
          </w:tcPr>
          <w:p w14:paraId="18F4F587"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single" w:sz="4" w:space="0" w:color="auto"/>
              <w:right w:val="single" w:sz="4" w:space="0" w:color="auto"/>
            </w:tcBorders>
            <w:hideMark/>
          </w:tcPr>
          <w:p w14:paraId="087C009B" w14:textId="77777777" w:rsidR="008F56BD" w:rsidRDefault="008F56BD">
            <w:pPr>
              <w:spacing w:line="276" w:lineRule="auto"/>
              <w:ind w:left="113" w:hanging="113"/>
              <w:rPr>
                <w:sz w:val="18"/>
                <w:szCs w:val="18"/>
              </w:rPr>
            </w:pPr>
            <w:r>
              <w:rPr>
                <w:sz w:val="18"/>
                <w:szCs w:val="18"/>
              </w:rPr>
              <w:t xml:space="preserve">Fish and fish products and frog legs (reduction of pathogens, </w:t>
            </w:r>
          </w:p>
        </w:tc>
        <w:tc>
          <w:tcPr>
            <w:tcW w:w="1977" w:type="dxa"/>
            <w:tcBorders>
              <w:top w:val="dotted" w:sz="4" w:space="0" w:color="auto"/>
              <w:left w:val="single" w:sz="4" w:space="0" w:color="auto"/>
              <w:bottom w:val="single" w:sz="4" w:space="0" w:color="auto"/>
              <w:right w:val="single" w:sz="4" w:space="0" w:color="auto"/>
            </w:tcBorders>
            <w:hideMark/>
          </w:tcPr>
          <w:p w14:paraId="182FF581" w14:textId="77777777" w:rsidR="008F56BD" w:rsidRDefault="008F56BD">
            <w:pPr>
              <w:spacing w:line="276" w:lineRule="auto"/>
              <w:ind w:left="113" w:hanging="113"/>
              <w:rPr>
                <w:sz w:val="18"/>
                <w:szCs w:val="18"/>
              </w:rPr>
            </w:pPr>
            <w:r>
              <w:rPr>
                <w:sz w:val="18"/>
                <w:szCs w:val="18"/>
              </w:rPr>
              <w:t>0.1 to 7.0</w:t>
            </w:r>
          </w:p>
        </w:tc>
      </w:tr>
      <w:tr w:rsidR="008F56BD" w14:paraId="409017D2" w14:textId="77777777" w:rsidTr="00B006F5">
        <w:trPr>
          <w:trHeight w:val="263"/>
        </w:trPr>
        <w:tc>
          <w:tcPr>
            <w:tcW w:w="1731" w:type="dxa"/>
            <w:tcBorders>
              <w:top w:val="single" w:sz="4" w:space="0" w:color="auto"/>
              <w:left w:val="single" w:sz="4" w:space="0" w:color="auto"/>
              <w:bottom w:val="nil"/>
              <w:right w:val="single" w:sz="4" w:space="0" w:color="auto"/>
            </w:tcBorders>
          </w:tcPr>
          <w:p w14:paraId="6A4F3F6D" w14:textId="77777777" w:rsidR="008F56BD" w:rsidRDefault="008F56BD">
            <w:pPr>
              <w:spacing w:line="276" w:lineRule="auto"/>
              <w:rPr>
                <w:rFonts w:eastAsia="Arial Unicode MS"/>
                <w:sz w:val="18"/>
                <w:szCs w:val="18"/>
              </w:rPr>
            </w:pPr>
          </w:p>
        </w:tc>
        <w:tc>
          <w:tcPr>
            <w:tcW w:w="5352" w:type="dxa"/>
            <w:tcBorders>
              <w:top w:val="single" w:sz="4" w:space="0" w:color="auto"/>
              <w:left w:val="single" w:sz="4" w:space="0" w:color="auto"/>
              <w:bottom w:val="nil"/>
              <w:right w:val="single" w:sz="4" w:space="0" w:color="auto"/>
            </w:tcBorders>
            <w:hideMark/>
          </w:tcPr>
          <w:p w14:paraId="7D412D69" w14:textId="18AD52AE" w:rsidR="008F56BD" w:rsidRDefault="008F56BD">
            <w:pPr>
              <w:spacing w:line="276" w:lineRule="auto"/>
              <w:ind w:left="113" w:hanging="113"/>
              <w:rPr>
                <w:sz w:val="18"/>
                <w:szCs w:val="18"/>
              </w:rPr>
            </w:pPr>
            <w:r>
              <w:rPr>
                <w:sz w:val="18"/>
                <w:szCs w:val="18"/>
              </w:rPr>
              <w:t>shelf-life extension, control of infection by parasites, insect</w:t>
            </w:r>
          </w:p>
        </w:tc>
        <w:tc>
          <w:tcPr>
            <w:tcW w:w="1977" w:type="dxa"/>
            <w:tcBorders>
              <w:top w:val="single" w:sz="4" w:space="0" w:color="auto"/>
              <w:left w:val="single" w:sz="4" w:space="0" w:color="auto"/>
              <w:bottom w:val="nil"/>
              <w:right w:val="single" w:sz="4" w:space="0" w:color="auto"/>
            </w:tcBorders>
          </w:tcPr>
          <w:p w14:paraId="48780CCE" w14:textId="77777777" w:rsidR="008F56BD" w:rsidRDefault="008F56BD">
            <w:pPr>
              <w:spacing w:line="276" w:lineRule="auto"/>
              <w:ind w:left="113" w:hanging="113"/>
              <w:rPr>
                <w:sz w:val="18"/>
                <w:szCs w:val="18"/>
              </w:rPr>
            </w:pPr>
          </w:p>
        </w:tc>
      </w:tr>
      <w:tr w:rsidR="008F56BD" w14:paraId="08CD004F" w14:textId="77777777" w:rsidTr="00B006F5">
        <w:trPr>
          <w:trHeight w:val="263"/>
        </w:trPr>
        <w:tc>
          <w:tcPr>
            <w:tcW w:w="1731" w:type="dxa"/>
            <w:tcBorders>
              <w:top w:val="nil"/>
              <w:left w:val="single" w:sz="4" w:space="0" w:color="auto"/>
              <w:bottom w:val="nil"/>
              <w:right w:val="single" w:sz="4" w:space="0" w:color="auto"/>
            </w:tcBorders>
          </w:tcPr>
          <w:p w14:paraId="72EEBD16"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4BD8E11D" w14:textId="76C1F9A3" w:rsidR="008F56BD" w:rsidRDefault="008F56BD">
            <w:pPr>
              <w:spacing w:line="276" w:lineRule="auto"/>
              <w:ind w:left="113" w:hanging="113"/>
              <w:rPr>
                <w:sz w:val="18"/>
                <w:szCs w:val="18"/>
              </w:rPr>
            </w:pPr>
            <w:r>
              <w:rPr>
                <w:sz w:val="18"/>
                <w:szCs w:val="18"/>
              </w:rPr>
              <w:t>disinfestation)</w:t>
            </w:r>
          </w:p>
        </w:tc>
        <w:tc>
          <w:tcPr>
            <w:tcW w:w="1977" w:type="dxa"/>
            <w:tcBorders>
              <w:top w:val="nil"/>
              <w:left w:val="single" w:sz="4" w:space="0" w:color="auto"/>
              <w:bottom w:val="dotted" w:sz="4" w:space="0" w:color="auto"/>
              <w:right w:val="single" w:sz="4" w:space="0" w:color="auto"/>
            </w:tcBorders>
          </w:tcPr>
          <w:p w14:paraId="5A40F392" w14:textId="77777777" w:rsidR="008F56BD" w:rsidRDefault="008F56BD">
            <w:pPr>
              <w:spacing w:line="276" w:lineRule="auto"/>
              <w:ind w:left="113" w:hanging="113"/>
              <w:rPr>
                <w:sz w:val="18"/>
                <w:szCs w:val="18"/>
              </w:rPr>
            </w:pPr>
          </w:p>
        </w:tc>
      </w:tr>
      <w:tr w:rsidR="008F56BD" w14:paraId="04E2B3A5" w14:textId="77777777" w:rsidTr="008F56BD">
        <w:trPr>
          <w:trHeight w:val="263"/>
        </w:trPr>
        <w:tc>
          <w:tcPr>
            <w:tcW w:w="1731" w:type="dxa"/>
            <w:tcBorders>
              <w:top w:val="nil"/>
              <w:left w:val="single" w:sz="4" w:space="0" w:color="auto"/>
              <w:bottom w:val="nil"/>
              <w:right w:val="single" w:sz="4" w:space="0" w:color="auto"/>
            </w:tcBorders>
          </w:tcPr>
          <w:p w14:paraId="3B918920"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594673D4" w14:textId="77777777" w:rsidR="008F56BD" w:rsidRDefault="008F56BD">
            <w:pPr>
              <w:spacing w:line="276" w:lineRule="auto"/>
              <w:ind w:left="113" w:hanging="113"/>
              <w:rPr>
                <w:sz w:val="18"/>
                <w:szCs w:val="18"/>
              </w:rPr>
            </w:pPr>
            <w:r>
              <w:rPr>
                <w:sz w:val="18"/>
                <w:szCs w:val="18"/>
              </w:rPr>
              <w:t xml:space="preserve">Meat and meat products (reduction of pathogens, shelf life </w:t>
            </w:r>
          </w:p>
        </w:tc>
        <w:tc>
          <w:tcPr>
            <w:tcW w:w="1977" w:type="dxa"/>
            <w:tcBorders>
              <w:top w:val="dotted" w:sz="4" w:space="0" w:color="auto"/>
              <w:left w:val="single" w:sz="4" w:space="0" w:color="auto"/>
              <w:bottom w:val="nil"/>
              <w:right w:val="single" w:sz="4" w:space="0" w:color="auto"/>
            </w:tcBorders>
            <w:hideMark/>
          </w:tcPr>
          <w:p w14:paraId="7ED678BC" w14:textId="77777777" w:rsidR="008F56BD" w:rsidRDefault="008F56BD">
            <w:pPr>
              <w:spacing w:line="276" w:lineRule="auto"/>
              <w:ind w:left="113" w:hanging="113"/>
              <w:rPr>
                <w:sz w:val="18"/>
                <w:szCs w:val="18"/>
              </w:rPr>
            </w:pPr>
            <w:r>
              <w:rPr>
                <w:sz w:val="18"/>
                <w:szCs w:val="18"/>
              </w:rPr>
              <w:t>0.3 to 7.0</w:t>
            </w:r>
          </w:p>
        </w:tc>
      </w:tr>
      <w:tr w:rsidR="008F56BD" w14:paraId="5DC19194" w14:textId="77777777" w:rsidTr="008F56BD">
        <w:trPr>
          <w:trHeight w:val="263"/>
        </w:trPr>
        <w:tc>
          <w:tcPr>
            <w:tcW w:w="1731" w:type="dxa"/>
            <w:tcBorders>
              <w:top w:val="nil"/>
              <w:left w:val="single" w:sz="4" w:space="0" w:color="auto"/>
              <w:bottom w:val="nil"/>
              <w:right w:val="single" w:sz="4" w:space="0" w:color="auto"/>
            </w:tcBorders>
          </w:tcPr>
          <w:p w14:paraId="0812716C"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469603B7" w14:textId="77777777" w:rsidR="008F56BD" w:rsidRDefault="008F56BD">
            <w:pPr>
              <w:spacing w:line="276" w:lineRule="auto"/>
              <w:ind w:left="113" w:hanging="113"/>
              <w:rPr>
                <w:sz w:val="18"/>
                <w:szCs w:val="18"/>
              </w:rPr>
            </w:pPr>
            <w:r>
              <w:rPr>
                <w:sz w:val="18"/>
                <w:szCs w:val="18"/>
              </w:rPr>
              <w:t>extension, control of infection by parasites)</w:t>
            </w:r>
          </w:p>
        </w:tc>
        <w:tc>
          <w:tcPr>
            <w:tcW w:w="1977" w:type="dxa"/>
            <w:tcBorders>
              <w:top w:val="nil"/>
              <w:left w:val="single" w:sz="4" w:space="0" w:color="auto"/>
              <w:bottom w:val="dotted" w:sz="4" w:space="0" w:color="auto"/>
              <w:right w:val="single" w:sz="4" w:space="0" w:color="auto"/>
            </w:tcBorders>
          </w:tcPr>
          <w:p w14:paraId="04196843" w14:textId="77777777" w:rsidR="008F56BD" w:rsidRDefault="008F56BD">
            <w:pPr>
              <w:spacing w:line="276" w:lineRule="auto"/>
              <w:ind w:left="113" w:hanging="113"/>
              <w:rPr>
                <w:sz w:val="18"/>
                <w:szCs w:val="18"/>
              </w:rPr>
            </w:pPr>
          </w:p>
        </w:tc>
      </w:tr>
      <w:tr w:rsidR="008F56BD" w14:paraId="536DBA42" w14:textId="77777777" w:rsidTr="008F56BD">
        <w:trPr>
          <w:trHeight w:val="263"/>
        </w:trPr>
        <w:tc>
          <w:tcPr>
            <w:tcW w:w="1731" w:type="dxa"/>
            <w:tcBorders>
              <w:top w:val="nil"/>
              <w:left w:val="single" w:sz="4" w:space="0" w:color="auto"/>
              <w:bottom w:val="nil"/>
              <w:right w:val="single" w:sz="4" w:space="0" w:color="auto"/>
            </w:tcBorders>
          </w:tcPr>
          <w:p w14:paraId="65FAC04B"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5FAFDBCE" w14:textId="77777777" w:rsidR="008F56BD" w:rsidRDefault="008F56BD">
            <w:pPr>
              <w:spacing w:line="276" w:lineRule="auto"/>
              <w:ind w:left="113" w:hanging="113"/>
              <w:rPr>
                <w:sz w:val="18"/>
                <w:szCs w:val="18"/>
              </w:rPr>
            </w:pPr>
            <w:r>
              <w:rPr>
                <w:sz w:val="18"/>
                <w:szCs w:val="18"/>
              </w:rPr>
              <w:t xml:space="preserve">Dried vegetables, spices, condiments, dry herbs, tea (reduction </w:t>
            </w:r>
          </w:p>
        </w:tc>
        <w:tc>
          <w:tcPr>
            <w:tcW w:w="1977" w:type="dxa"/>
            <w:tcBorders>
              <w:top w:val="dotted" w:sz="4" w:space="0" w:color="auto"/>
              <w:left w:val="single" w:sz="4" w:space="0" w:color="auto"/>
              <w:bottom w:val="nil"/>
              <w:right w:val="single" w:sz="4" w:space="0" w:color="auto"/>
            </w:tcBorders>
            <w:hideMark/>
          </w:tcPr>
          <w:p w14:paraId="78905083" w14:textId="77777777" w:rsidR="008F56BD" w:rsidRDefault="008F56BD">
            <w:pPr>
              <w:spacing w:line="276" w:lineRule="auto"/>
              <w:ind w:left="113" w:hanging="113"/>
              <w:rPr>
                <w:sz w:val="18"/>
                <w:szCs w:val="18"/>
              </w:rPr>
            </w:pPr>
            <w:r>
              <w:rPr>
                <w:sz w:val="18"/>
                <w:szCs w:val="18"/>
              </w:rPr>
              <w:t>0.3 to 10.0</w:t>
            </w:r>
          </w:p>
        </w:tc>
      </w:tr>
      <w:tr w:rsidR="008F56BD" w14:paraId="734A331F" w14:textId="77777777" w:rsidTr="008F56BD">
        <w:trPr>
          <w:trHeight w:val="263"/>
        </w:trPr>
        <w:tc>
          <w:tcPr>
            <w:tcW w:w="1731" w:type="dxa"/>
            <w:tcBorders>
              <w:top w:val="nil"/>
              <w:left w:val="single" w:sz="4" w:space="0" w:color="auto"/>
              <w:bottom w:val="nil"/>
              <w:right w:val="single" w:sz="4" w:space="0" w:color="auto"/>
            </w:tcBorders>
          </w:tcPr>
          <w:p w14:paraId="338F5BCE"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1DC1C1E8" w14:textId="77777777" w:rsidR="008F56BD" w:rsidRDefault="008F56BD">
            <w:pPr>
              <w:spacing w:line="276" w:lineRule="auto"/>
              <w:ind w:left="113" w:hanging="113"/>
              <w:rPr>
                <w:sz w:val="18"/>
                <w:szCs w:val="18"/>
              </w:rPr>
            </w:pPr>
            <w:r>
              <w:rPr>
                <w:sz w:val="18"/>
                <w:szCs w:val="18"/>
              </w:rPr>
              <w:t>of pathogens, insect disinfestation)</w:t>
            </w:r>
          </w:p>
        </w:tc>
        <w:tc>
          <w:tcPr>
            <w:tcW w:w="1977" w:type="dxa"/>
            <w:tcBorders>
              <w:top w:val="nil"/>
              <w:left w:val="single" w:sz="4" w:space="0" w:color="auto"/>
              <w:bottom w:val="dotted" w:sz="4" w:space="0" w:color="auto"/>
              <w:right w:val="single" w:sz="4" w:space="0" w:color="auto"/>
            </w:tcBorders>
          </w:tcPr>
          <w:p w14:paraId="2D38B37B" w14:textId="77777777" w:rsidR="008F56BD" w:rsidRDefault="008F56BD">
            <w:pPr>
              <w:spacing w:line="276" w:lineRule="auto"/>
              <w:ind w:left="113" w:hanging="113"/>
              <w:rPr>
                <w:sz w:val="18"/>
                <w:szCs w:val="18"/>
              </w:rPr>
            </w:pPr>
          </w:p>
        </w:tc>
      </w:tr>
      <w:tr w:rsidR="008F56BD" w14:paraId="07E5C19B" w14:textId="77777777" w:rsidTr="008F56BD">
        <w:trPr>
          <w:trHeight w:val="263"/>
        </w:trPr>
        <w:tc>
          <w:tcPr>
            <w:tcW w:w="1731" w:type="dxa"/>
            <w:tcBorders>
              <w:top w:val="nil"/>
              <w:left w:val="single" w:sz="4" w:space="0" w:color="auto"/>
              <w:bottom w:val="nil"/>
              <w:right w:val="single" w:sz="4" w:space="0" w:color="auto"/>
            </w:tcBorders>
          </w:tcPr>
          <w:p w14:paraId="00982A5F"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689E2699" w14:textId="77777777" w:rsidR="008F56BD" w:rsidRDefault="008F56BD">
            <w:pPr>
              <w:spacing w:line="276" w:lineRule="auto"/>
              <w:ind w:left="113" w:hanging="113"/>
              <w:rPr>
                <w:sz w:val="18"/>
                <w:szCs w:val="18"/>
              </w:rPr>
            </w:pPr>
            <w:r>
              <w:rPr>
                <w:sz w:val="18"/>
                <w:szCs w:val="18"/>
              </w:rPr>
              <w:t xml:space="preserve">Cocoa and cocoa products (reduction of microbial load, insect </w:t>
            </w:r>
          </w:p>
        </w:tc>
        <w:tc>
          <w:tcPr>
            <w:tcW w:w="1977" w:type="dxa"/>
            <w:tcBorders>
              <w:top w:val="dotted" w:sz="4" w:space="0" w:color="auto"/>
              <w:left w:val="single" w:sz="4" w:space="0" w:color="auto"/>
              <w:bottom w:val="nil"/>
              <w:right w:val="single" w:sz="4" w:space="0" w:color="auto"/>
            </w:tcBorders>
            <w:hideMark/>
          </w:tcPr>
          <w:p w14:paraId="163B9C3E" w14:textId="77777777" w:rsidR="008F56BD" w:rsidRDefault="008F56BD">
            <w:pPr>
              <w:spacing w:line="276" w:lineRule="auto"/>
              <w:ind w:left="113" w:hanging="113"/>
              <w:rPr>
                <w:sz w:val="18"/>
                <w:szCs w:val="18"/>
              </w:rPr>
            </w:pPr>
            <w:r>
              <w:rPr>
                <w:sz w:val="18"/>
                <w:szCs w:val="18"/>
              </w:rPr>
              <w:t>0.3 to 5.0</w:t>
            </w:r>
          </w:p>
        </w:tc>
      </w:tr>
      <w:tr w:rsidR="008F56BD" w14:paraId="622319EE" w14:textId="77777777" w:rsidTr="008F56BD">
        <w:trPr>
          <w:trHeight w:val="263"/>
        </w:trPr>
        <w:tc>
          <w:tcPr>
            <w:tcW w:w="1731" w:type="dxa"/>
            <w:tcBorders>
              <w:top w:val="nil"/>
              <w:left w:val="single" w:sz="4" w:space="0" w:color="auto"/>
              <w:bottom w:val="nil"/>
              <w:right w:val="single" w:sz="4" w:space="0" w:color="auto"/>
            </w:tcBorders>
          </w:tcPr>
          <w:p w14:paraId="14410AF0"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1E4D526F" w14:textId="77777777" w:rsidR="008F56BD" w:rsidRDefault="008F56BD">
            <w:pPr>
              <w:spacing w:line="276" w:lineRule="auto"/>
              <w:ind w:left="113" w:hanging="113"/>
              <w:rPr>
                <w:sz w:val="18"/>
                <w:szCs w:val="18"/>
              </w:rPr>
            </w:pPr>
            <w:r>
              <w:rPr>
                <w:sz w:val="18"/>
                <w:szCs w:val="18"/>
              </w:rPr>
              <w:t>disinfestations)</w:t>
            </w:r>
          </w:p>
        </w:tc>
        <w:tc>
          <w:tcPr>
            <w:tcW w:w="1977" w:type="dxa"/>
            <w:tcBorders>
              <w:top w:val="nil"/>
              <w:left w:val="single" w:sz="4" w:space="0" w:color="auto"/>
              <w:bottom w:val="dotted" w:sz="4" w:space="0" w:color="auto"/>
              <w:right w:val="single" w:sz="4" w:space="0" w:color="auto"/>
            </w:tcBorders>
          </w:tcPr>
          <w:p w14:paraId="17603D79" w14:textId="77777777" w:rsidR="008F56BD" w:rsidRDefault="008F56BD">
            <w:pPr>
              <w:spacing w:line="276" w:lineRule="auto"/>
              <w:ind w:left="113" w:hanging="113"/>
              <w:rPr>
                <w:sz w:val="18"/>
                <w:szCs w:val="18"/>
              </w:rPr>
            </w:pPr>
          </w:p>
        </w:tc>
      </w:tr>
      <w:tr w:rsidR="008F56BD" w14:paraId="413970BE" w14:textId="77777777" w:rsidTr="008F56BD">
        <w:trPr>
          <w:trHeight w:val="263"/>
        </w:trPr>
        <w:tc>
          <w:tcPr>
            <w:tcW w:w="1731" w:type="dxa"/>
            <w:tcBorders>
              <w:top w:val="nil"/>
              <w:left w:val="single" w:sz="4" w:space="0" w:color="auto"/>
              <w:bottom w:val="nil"/>
              <w:right w:val="single" w:sz="4" w:space="0" w:color="auto"/>
            </w:tcBorders>
          </w:tcPr>
          <w:p w14:paraId="77A6AA88"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4FE912E6" w14:textId="77777777" w:rsidR="008F56BD" w:rsidRDefault="008F56BD">
            <w:pPr>
              <w:spacing w:line="276" w:lineRule="auto"/>
              <w:ind w:left="113" w:hanging="113"/>
              <w:rPr>
                <w:sz w:val="18"/>
                <w:szCs w:val="18"/>
              </w:rPr>
            </w:pPr>
            <w:r>
              <w:rPr>
                <w:sz w:val="18"/>
                <w:szCs w:val="18"/>
              </w:rPr>
              <w:t>Dried food of animal origin (for insect disinfestations, control of</w:t>
            </w:r>
          </w:p>
        </w:tc>
        <w:tc>
          <w:tcPr>
            <w:tcW w:w="1977" w:type="dxa"/>
            <w:tcBorders>
              <w:top w:val="dotted" w:sz="4" w:space="0" w:color="auto"/>
              <w:left w:val="single" w:sz="4" w:space="0" w:color="auto"/>
              <w:bottom w:val="nil"/>
              <w:right w:val="single" w:sz="4" w:space="0" w:color="auto"/>
            </w:tcBorders>
            <w:hideMark/>
          </w:tcPr>
          <w:p w14:paraId="3B86E62F" w14:textId="77777777" w:rsidR="008F56BD" w:rsidRDefault="008F56BD">
            <w:pPr>
              <w:spacing w:line="276" w:lineRule="auto"/>
              <w:ind w:left="113" w:hanging="113"/>
              <w:rPr>
                <w:sz w:val="18"/>
                <w:szCs w:val="18"/>
              </w:rPr>
            </w:pPr>
            <w:r>
              <w:rPr>
                <w:sz w:val="18"/>
                <w:szCs w:val="18"/>
              </w:rPr>
              <w:t>0.3 to 7.0</w:t>
            </w:r>
          </w:p>
        </w:tc>
      </w:tr>
      <w:tr w:rsidR="008F56BD" w14:paraId="7F7EE008" w14:textId="77777777" w:rsidTr="008F56BD">
        <w:trPr>
          <w:trHeight w:val="263"/>
        </w:trPr>
        <w:tc>
          <w:tcPr>
            <w:tcW w:w="1731" w:type="dxa"/>
            <w:tcBorders>
              <w:top w:val="nil"/>
              <w:left w:val="single" w:sz="4" w:space="0" w:color="auto"/>
              <w:bottom w:val="nil"/>
              <w:right w:val="single" w:sz="4" w:space="0" w:color="auto"/>
            </w:tcBorders>
          </w:tcPr>
          <w:p w14:paraId="53A6F06E"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dotted" w:sz="4" w:space="0" w:color="auto"/>
              <w:right w:val="single" w:sz="4" w:space="0" w:color="auto"/>
            </w:tcBorders>
            <w:hideMark/>
          </w:tcPr>
          <w:p w14:paraId="466289C5" w14:textId="77777777" w:rsidR="008F56BD" w:rsidRDefault="008F56BD">
            <w:pPr>
              <w:spacing w:line="276" w:lineRule="auto"/>
              <w:ind w:left="113" w:hanging="113"/>
              <w:rPr>
                <w:sz w:val="18"/>
                <w:szCs w:val="18"/>
              </w:rPr>
            </w:pPr>
            <w:r>
              <w:rPr>
                <w:sz w:val="18"/>
                <w:szCs w:val="18"/>
              </w:rPr>
              <w:t>moulds, reduction of pathogens)</w:t>
            </w:r>
          </w:p>
        </w:tc>
        <w:tc>
          <w:tcPr>
            <w:tcW w:w="1977" w:type="dxa"/>
            <w:tcBorders>
              <w:top w:val="nil"/>
              <w:left w:val="single" w:sz="4" w:space="0" w:color="auto"/>
              <w:bottom w:val="dotted" w:sz="4" w:space="0" w:color="auto"/>
              <w:right w:val="single" w:sz="4" w:space="0" w:color="auto"/>
            </w:tcBorders>
          </w:tcPr>
          <w:p w14:paraId="4D4C344A" w14:textId="77777777" w:rsidR="008F56BD" w:rsidRDefault="008F56BD">
            <w:pPr>
              <w:spacing w:line="276" w:lineRule="auto"/>
              <w:ind w:left="113" w:hanging="113"/>
              <w:rPr>
                <w:sz w:val="18"/>
                <w:szCs w:val="18"/>
              </w:rPr>
            </w:pPr>
          </w:p>
        </w:tc>
      </w:tr>
      <w:tr w:rsidR="008F56BD" w14:paraId="613BDB57" w14:textId="77777777" w:rsidTr="008F56BD">
        <w:trPr>
          <w:trHeight w:val="263"/>
        </w:trPr>
        <w:tc>
          <w:tcPr>
            <w:tcW w:w="1731" w:type="dxa"/>
            <w:tcBorders>
              <w:top w:val="nil"/>
              <w:left w:val="single" w:sz="4" w:space="0" w:color="auto"/>
              <w:bottom w:val="nil"/>
              <w:right w:val="single" w:sz="4" w:space="0" w:color="auto"/>
            </w:tcBorders>
          </w:tcPr>
          <w:p w14:paraId="41659B5A"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nil"/>
              <w:right w:val="single" w:sz="4" w:space="0" w:color="auto"/>
            </w:tcBorders>
            <w:hideMark/>
          </w:tcPr>
          <w:p w14:paraId="72059CB1" w14:textId="77777777" w:rsidR="008F56BD" w:rsidRDefault="008F56BD">
            <w:pPr>
              <w:spacing w:line="276" w:lineRule="auto"/>
              <w:ind w:left="113" w:hanging="113"/>
              <w:rPr>
                <w:sz w:val="18"/>
                <w:szCs w:val="18"/>
              </w:rPr>
            </w:pPr>
            <w:r>
              <w:rPr>
                <w:sz w:val="18"/>
                <w:szCs w:val="18"/>
              </w:rPr>
              <w:t xml:space="preserve">Other food not specified above (reduction of pathogens, </w:t>
            </w:r>
          </w:p>
        </w:tc>
        <w:tc>
          <w:tcPr>
            <w:tcW w:w="1977" w:type="dxa"/>
            <w:tcBorders>
              <w:top w:val="dotted" w:sz="4" w:space="0" w:color="auto"/>
              <w:left w:val="single" w:sz="4" w:space="0" w:color="auto"/>
              <w:bottom w:val="nil"/>
              <w:right w:val="single" w:sz="4" w:space="0" w:color="auto"/>
            </w:tcBorders>
            <w:hideMark/>
          </w:tcPr>
          <w:p w14:paraId="5C5919B3" w14:textId="77777777" w:rsidR="008F56BD" w:rsidRDefault="008F56BD">
            <w:pPr>
              <w:spacing w:line="276" w:lineRule="auto"/>
              <w:ind w:left="113" w:hanging="113"/>
              <w:rPr>
                <w:sz w:val="18"/>
                <w:szCs w:val="18"/>
              </w:rPr>
            </w:pPr>
            <w:r>
              <w:rPr>
                <w:sz w:val="18"/>
                <w:szCs w:val="18"/>
              </w:rPr>
              <w:t>1.0 to 10.0</w:t>
            </w:r>
          </w:p>
        </w:tc>
      </w:tr>
      <w:tr w:rsidR="008F56BD" w14:paraId="557BF066" w14:textId="77777777" w:rsidTr="008F56BD">
        <w:trPr>
          <w:trHeight w:val="263"/>
        </w:trPr>
        <w:tc>
          <w:tcPr>
            <w:tcW w:w="1731" w:type="dxa"/>
            <w:tcBorders>
              <w:top w:val="nil"/>
              <w:left w:val="single" w:sz="4" w:space="0" w:color="auto"/>
              <w:bottom w:val="single" w:sz="4" w:space="0" w:color="auto"/>
              <w:right w:val="single" w:sz="4" w:space="0" w:color="auto"/>
            </w:tcBorders>
          </w:tcPr>
          <w:p w14:paraId="505A8759" w14:textId="77777777" w:rsidR="008F56BD" w:rsidRDefault="008F56BD">
            <w:pPr>
              <w:spacing w:line="276" w:lineRule="auto"/>
              <w:rPr>
                <w:rFonts w:eastAsia="Arial Unicode MS"/>
                <w:sz w:val="18"/>
                <w:szCs w:val="18"/>
              </w:rPr>
            </w:pPr>
          </w:p>
        </w:tc>
        <w:tc>
          <w:tcPr>
            <w:tcW w:w="5352" w:type="dxa"/>
            <w:tcBorders>
              <w:top w:val="nil"/>
              <w:left w:val="single" w:sz="4" w:space="0" w:color="auto"/>
              <w:bottom w:val="single" w:sz="4" w:space="0" w:color="auto"/>
              <w:right w:val="single" w:sz="4" w:space="0" w:color="auto"/>
            </w:tcBorders>
            <w:hideMark/>
          </w:tcPr>
          <w:p w14:paraId="3C074D01" w14:textId="77777777" w:rsidR="008F56BD" w:rsidRDefault="008F56BD">
            <w:pPr>
              <w:spacing w:line="276" w:lineRule="auto"/>
              <w:ind w:left="113" w:hanging="113"/>
              <w:rPr>
                <w:sz w:val="18"/>
                <w:szCs w:val="18"/>
              </w:rPr>
            </w:pPr>
            <w:r>
              <w:rPr>
                <w:sz w:val="18"/>
                <w:szCs w:val="18"/>
              </w:rPr>
              <w:t>reduction of microbial load)</w:t>
            </w:r>
          </w:p>
        </w:tc>
        <w:tc>
          <w:tcPr>
            <w:tcW w:w="1977" w:type="dxa"/>
            <w:tcBorders>
              <w:top w:val="nil"/>
              <w:left w:val="single" w:sz="4" w:space="0" w:color="auto"/>
              <w:bottom w:val="single" w:sz="4" w:space="0" w:color="auto"/>
              <w:right w:val="single" w:sz="4" w:space="0" w:color="auto"/>
            </w:tcBorders>
          </w:tcPr>
          <w:p w14:paraId="7F21F9E0" w14:textId="77777777" w:rsidR="008F56BD" w:rsidRDefault="008F56BD">
            <w:pPr>
              <w:spacing w:line="276" w:lineRule="auto"/>
              <w:ind w:left="113" w:hanging="113"/>
              <w:rPr>
                <w:sz w:val="18"/>
                <w:szCs w:val="18"/>
              </w:rPr>
            </w:pPr>
          </w:p>
        </w:tc>
      </w:tr>
      <w:tr w:rsidR="008F56BD" w14:paraId="270E8482" w14:textId="77777777" w:rsidTr="008F56BD">
        <w:trPr>
          <w:trHeight w:val="269"/>
        </w:trPr>
        <w:tc>
          <w:tcPr>
            <w:tcW w:w="1731" w:type="dxa"/>
            <w:tcBorders>
              <w:top w:val="single" w:sz="4" w:space="0" w:color="auto"/>
              <w:left w:val="single" w:sz="4" w:space="0" w:color="auto"/>
              <w:bottom w:val="nil"/>
              <w:right w:val="single" w:sz="4" w:space="0" w:color="auto"/>
            </w:tcBorders>
            <w:hideMark/>
          </w:tcPr>
          <w:p w14:paraId="0EC253CC" w14:textId="77777777" w:rsidR="008F56BD" w:rsidRDefault="008F56BD">
            <w:pPr>
              <w:spacing w:line="276" w:lineRule="auto"/>
              <w:rPr>
                <w:rFonts w:eastAsia="Arial Unicode MS"/>
                <w:sz w:val="18"/>
                <w:szCs w:val="18"/>
                <w:highlight w:val="yellow"/>
              </w:rPr>
            </w:pPr>
            <w:r>
              <w:rPr>
                <w:rFonts w:eastAsia="Arial Unicode MS"/>
                <w:sz w:val="18"/>
                <w:szCs w:val="18"/>
              </w:rPr>
              <w:t>China</w:t>
            </w:r>
          </w:p>
        </w:tc>
        <w:tc>
          <w:tcPr>
            <w:tcW w:w="5352" w:type="dxa"/>
            <w:tcBorders>
              <w:top w:val="single" w:sz="4" w:space="0" w:color="auto"/>
              <w:left w:val="single" w:sz="4" w:space="0" w:color="auto"/>
              <w:bottom w:val="dotted" w:sz="4" w:space="0" w:color="auto"/>
              <w:right w:val="single" w:sz="4" w:space="0" w:color="auto"/>
            </w:tcBorders>
            <w:hideMark/>
          </w:tcPr>
          <w:p w14:paraId="50156B50" w14:textId="77777777" w:rsidR="008F56BD" w:rsidRDefault="008F56BD">
            <w:pPr>
              <w:spacing w:line="276" w:lineRule="auto"/>
              <w:ind w:left="113" w:hanging="113"/>
              <w:rPr>
                <w:sz w:val="18"/>
                <w:szCs w:val="18"/>
              </w:rPr>
            </w:pPr>
            <w:r>
              <w:rPr>
                <w:sz w:val="18"/>
                <w:szCs w:val="18"/>
              </w:rPr>
              <w:t>Poultry, livestock, cooked</w:t>
            </w:r>
          </w:p>
        </w:tc>
        <w:tc>
          <w:tcPr>
            <w:tcW w:w="1977" w:type="dxa"/>
            <w:tcBorders>
              <w:top w:val="single" w:sz="4" w:space="0" w:color="auto"/>
              <w:left w:val="single" w:sz="4" w:space="0" w:color="auto"/>
              <w:bottom w:val="dotted" w:sz="4" w:space="0" w:color="auto"/>
              <w:right w:val="single" w:sz="4" w:space="0" w:color="auto"/>
            </w:tcBorders>
            <w:hideMark/>
          </w:tcPr>
          <w:p w14:paraId="60C2AA5C" w14:textId="77777777" w:rsidR="008F56BD" w:rsidRDefault="008F56BD">
            <w:pPr>
              <w:spacing w:line="276" w:lineRule="auto"/>
              <w:rPr>
                <w:sz w:val="18"/>
                <w:szCs w:val="18"/>
              </w:rPr>
            </w:pPr>
            <w:r>
              <w:rPr>
                <w:sz w:val="18"/>
                <w:szCs w:val="18"/>
              </w:rPr>
              <w:t>≤8.0</w:t>
            </w:r>
          </w:p>
        </w:tc>
      </w:tr>
      <w:tr w:rsidR="008F56BD" w14:paraId="2BB78003" w14:textId="77777777" w:rsidTr="008F56BD">
        <w:trPr>
          <w:trHeight w:val="263"/>
        </w:trPr>
        <w:tc>
          <w:tcPr>
            <w:tcW w:w="1731" w:type="dxa"/>
            <w:tcBorders>
              <w:top w:val="nil"/>
              <w:left w:val="single" w:sz="4" w:space="0" w:color="auto"/>
              <w:bottom w:val="nil"/>
              <w:right w:val="single" w:sz="4" w:space="0" w:color="auto"/>
            </w:tcBorders>
          </w:tcPr>
          <w:p w14:paraId="72FE3714"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1D9401E3" w14:textId="77777777" w:rsidR="008F56BD" w:rsidRDefault="008F56BD">
            <w:pPr>
              <w:spacing w:line="276" w:lineRule="auto"/>
              <w:ind w:left="113" w:hanging="113"/>
              <w:rPr>
                <w:sz w:val="18"/>
                <w:szCs w:val="18"/>
              </w:rPr>
            </w:pPr>
            <w:r>
              <w:rPr>
                <w:sz w:val="18"/>
                <w:szCs w:val="18"/>
              </w:rPr>
              <w:t>Pollen</w:t>
            </w:r>
          </w:p>
        </w:tc>
        <w:tc>
          <w:tcPr>
            <w:tcW w:w="1977" w:type="dxa"/>
            <w:tcBorders>
              <w:top w:val="dotted" w:sz="4" w:space="0" w:color="auto"/>
              <w:left w:val="single" w:sz="4" w:space="0" w:color="auto"/>
              <w:bottom w:val="dotted" w:sz="4" w:space="0" w:color="auto"/>
              <w:right w:val="single" w:sz="4" w:space="0" w:color="auto"/>
            </w:tcBorders>
            <w:hideMark/>
          </w:tcPr>
          <w:p w14:paraId="5219329D" w14:textId="77777777" w:rsidR="008F56BD" w:rsidRDefault="008F56BD">
            <w:pPr>
              <w:spacing w:line="276" w:lineRule="auto"/>
              <w:rPr>
                <w:sz w:val="18"/>
                <w:szCs w:val="18"/>
              </w:rPr>
            </w:pPr>
            <w:r>
              <w:rPr>
                <w:sz w:val="18"/>
                <w:szCs w:val="18"/>
              </w:rPr>
              <w:t>8.0</w:t>
            </w:r>
          </w:p>
        </w:tc>
      </w:tr>
      <w:tr w:rsidR="008F56BD" w14:paraId="34F2D312" w14:textId="77777777" w:rsidTr="008F56BD">
        <w:trPr>
          <w:trHeight w:val="263"/>
        </w:trPr>
        <w:tc>
          <w:tcPr>
            <w:tcW w:w="1731" w:type="dxa"/>
            <w:tcBorders>
              <w:top w:val="nil"/>
              <w:left w:val="single" w:sz="4" w:space="0" w:color="auto"/>
              <w:bottom w:val="nil"/>
              <w:right w:val="single" w:sz="4" w:space="0" w:color="auto"/>
            </w:tcBorders>
          </w:tcPr>
          <w:p w14:paraId="39B6B7CD"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31B5FC9B" w14:textId="77777777" w:rsidR="008F56BD" w:rsidRDefault="008F56BD">
            <w:pPr>
              <w:spacing w:line="276" w:lineRule="auto"/>
              <w:ind w:left="113" w:hanging="113"/>
              <w:rPr>
                <w:sz w:val="18"/>
                <w:szCs w:val="18"/>
              </w:rPr>
            </w:pPr>
            <w:r>
              <w:rPr>
                <w:sz w:val="18"/>
                <w:szCs w:val="18"/>
              </w:rPr>
              <w:t>Dried nuts, preserved fruits</w:t>
            </w:r>
          </w:p>
        </w:tc>
        <w:tc>
          <w:tcPr>
            <w:tcW w:w="1977" w:type="dxa"/>
            <w:tcBorders>
              <w:top w:val="dotted" w:sz="4" w:space="0" w:color="auto"/>
              <w:left w:val="single" w:sz="4" w:space="0" w:color="auto"/>
              <w:bottom w:val="dotted" w:sz="4" w:space="0" w:color="auto"/>
              <w:right w:val="single" w:sz="4" w:space="0" w:color="auto"/>
            </w:tcBorders>
            <w:hideMark/>
          </w:tcPr>
          <w:p w14:paraId="2DA88493" w14:textId="77777777" w:rsidR="008F56BD" w:rsidRDefault="008F56BD">
            <w:pPr>
              <w:spacing w:line="276" w:lineRule="auto"/>
              <w:rPr>
                <w:sz w:val="18"/>
                <w:szCs w:val="18"/>
              </w:rPr>
            </w:pPr>
            <w:r>
              <w:rPr>
                <w:sz w:val="18"/>
                <w:szCs w:val="18"/>
              </w:rPr>
              <w:t>0.4 to 1.0</w:t>
            </w:r>
          </w:p>
        </w:tc>
      </w:tr>
      <w:tr w:rsidR="008F56BD" w14:paraId="64E7F29D" w14:textId="77777777" w:rsidTr="008F56BD">
        <w:trPr>
          <w:trHeight w:val="263"/>
        </w:trPr>
        <w:tc>
          <w:tcPr>
            <w:tcW w:w="1731" w:type="dxa"/>
            <w:tcBorders>
              <w:top w:val="nil"/>
              <w:left w:val="single" w:sz="4" w:space="0" w:color="auto"/>
              <w:bottom w:val="nil"/>
              <w:right w:val="single" w:sz="4" w:space="0" w:color="auto"/>
            </w:tcBorders>
          </w:tcPr>
          <w:p w14:paraId="629820F2"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0134C1BA" w14:textId="77777777" w:rsidR="008F56BD" w:rsidRDefault="008F56BD">
            <w:pPr>
              <w:spacing w:line="276" w:lineRule="auto"/>
              <w:ind w:left="113" w:hanging="113"/>
              <w:rPr>
                <w:sz w:val="18"/>
                <w:szCs w:val="18"/>
              </w:rPr>
            </w:pPr>
            <w:r>
              <w:rPr>
                <w:sz w:val="18"/>
                <w:szCs w:val="18"/>
              </w:rPr>
              <w:t xml:space="preserve">Spices, dried </w:t>
            </w:r>
          </w:p>
        </w:tc>
        <w:tc>
          <w:tcPr>
            <w:tcW w:w="1977" w:type="dxa"/>
            <w:tcBorders>
              <w:top w:val="dotted" w:sz="4" w:space="0" w:color="auto"/>
              <w:left w:val="single" w:sz="4" w:space="0" w:color="auto"/>
              <w:bottom w:val="dotted" w:sz="4" w:space="0" w:color="auto"/>
              <w:right w:val="single" w:sz="4" w:space="0" w:color="auto"/>
            </w:tcBorders>
            <w:hideMark/>
          </w:tcPr>
          <w:p w14:paraId="5FF8BFEE" w14:textId="77777777" w:rsidR="008F56BD" w:rsidRDefault="008F56BD">
            <w:pPr>
              <w:spacing w:line="276" w:lineRule="auto"/>
              <w:rPr>
                <w:sz w:val="18"/>
                <w:szCs w:val="18"/>
              </w:rPr>
            </w:pPr>
            <w:r>
              <w:rPr>
                <w:sz w:val="18"/>
                <w:szCs w:val="18"/>
              </w:rPr>
              <w:t>≤10.0</w:t>
            </w:r>
          </w:p>
        </w:tc>
      </w:tr>
      <w:tr w:rsidR="008F56BD" w14:paraId="7953174D" w14:textId="77777777" w:rsidTr="008F56BD">
        <w:trPr>
          <w:trHeight w:val="263"/>
        </w:trPr>
        <w:tc>
          <w:tcPr>
            <w:tcW w:w="1731" w:type="dxa"/>
            <w:tcBorders>
              <w:top w:val="nil"/>
              <w:left w:val="single" w:sz="4" w:space="0" w:color="auto"/>
              <w:bottom w:val="nil"/>
              <w:right w:val="single" w:sz="4" w:space="0" w:color="auto"/>
            </w:tcBorders>
          </w:tcPr>
          <w:p w14:paraId="31535E95"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66604308" w14:textId="77777777" w:rsidR="008F56BD" w:rsidRPr="004F742E" w:rsidRDefault="008F56BD">
            <w:pPr>
              <w:spacing w:line="276" w:lineRule="auto"/>
              <w:ind w:left="113" w:hanging="113"/>
              <w:rPr>
                <w:sz w:val="18"/>
                <w:szCs w:val="18"/>
              </w:rPr>
            </w:pPr>
            <w:r w:rsidRPr="004F742E">
              <w:rPr>
                <w:sz w:val="18"/>
                <w:szCs w:val="18"/>
              </w:rPr>
              <w:t>Fruits, vegetables, fresh</w:t>
            </w:r>
          </w:p>
        </w:tc>
        <w:tc>
          <w:tcPr>
            <w:tcW w:w="1977" w:type="dxa"/>
            <w:tcBorders>
              <w:top w:val="dotted" w:sz="4" w:space="0" w:color="auto"/>
              <w:left w:val="single" w:sz="4" w:space="0" w:color="auto"/>
              <w:bottom w:val="dotted" w:sz="4" w:space="0" w:color="auto"/>
              <w:right w:val="single" w:sz="4" w:space="0" w:color="auto"/>
            </w:tcBorders>
            <w:hideMark/>
          </w:tcPr>
          <w:p w14:paraId="15F87FFF" w14:textId="77777777" w:rsidR="008F56BD" w:rsidRDefault="008F56BD">
            <w:pPr>
              <w:spacing w:line="276" w:lineRule="auto"/>
              <w:rPr>
                <w:sz w:val="18"/>
                <w:szCs w:val="18"/>
              </w:rPr>
            </w:pPr>
            <w:r>
              <w:rPr>
                <w:sz w:val="18"/>
                <w:szCs w:val="18"/>
              </w:rPr>
              <w:t>≤1.5</w:t>
            </w:r>
          </w:p>
        </w:tc>
      </w:tr>
      <w:tr w:rsidR="008F56BD" w14:paraId="6387EC56" w14:textId="77777777" w:rsidTr="008F56BD">
        <w:trPr>
          <w:trHeight w:val="263"/>
        </w:trPr>
        <w:tc>
          <w:tcPr>
            <w:tcW w:w="1731" w:type="dxa"/>
            <w:tcBorders>
              <w:top w:val="nil"/>
              <w:left w:val="single" w:sz="4" w:space="0" w:color="auto"/>
              <w:bottom w:val="nil"/>
              <w:right w:val="single" w:sz="4" w:space="0" w:color="auto"/>
            </w:tcBorders>
          </w:tcPr>
          <w:p w14:paraId="03B1D19F"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57C382EC" w14:textId="77777777" w:rsidR="008F56BD" w:rsidRDefault="008F56BD">
            <w:pPr>
              <w:spacing w:line="276" w:lineRule="auto"/>
              <w:ind w:left="113" w:hanging="113"/>
              <w:rPr>
                <w:sz w:val="18"/>
                <w:szCs w:val="18"/>
              </w:rPr>
            </w:pPr>
            <w:r>
              <w:rPr>
                <w:sz w:val="18"/>
                <w:szCs w:val="18"/>
              </w:rPr>
              <w:t>Pork, fresh</w:t>
            </w:r>
          </w:p>
        </w:tc>
        <w:tc>
          <w:tcPr>
            <w:tcW w:w="1977" w:type="dxa"/>
            <w:tcBorders>
              <w:top w:val="dotted" w:sz="4" w:space="0" w:color="auto"/>
              <w:left w:val="single" w:sz="4" w:space="0" w:color="auto"/>
              <w:bottom w:val="dotted" w:sz="4" w:space="0" w:color="auto"/>
              <w:right w:val="single" w:sz="4" w:space="0" w:color="auto"/>
            </w:tcBorders>
            <w:hideMark/>
          </w:tcPr>
          <w:p w14:paraId="0282807D" w14:textId="77777777" w:rsidR="008F56BD" w:rsidRDefault="008F56BD">
            <w:pPr>
              <w:spacing w:line="276" w:lineRule="auto"/>
              <w:rPr>
                <w:sz w:val="18"/>
                <w:szCs w:val="18"/>
              </w:rPr>
            </w:pPr>
            <w:r>
              <w:rPr>
                <w:sz w:val="18"/>
                <w:szCs w:val="18"/>
              </w:rPr>
              <w:t>0.65</w:t>
            </w:r>
          </w:p>
        </w:tc>
      </w:tr>
      <w:tr w:rsidR="008F56BD" w14:paraId="0665CCA8" w14:textId="77777777" w:rsidTr="008F56BD">
        <w:trPr>
          <w:trHeight w:val="263"/>
        </w:trPr>
        <w:tc>
          <w:tcPr>
            <w:tcW w:w="1731" w:type="dxa"/>
            <w:tcBorders>
              <w:top w:val="nil"/>
              <w:left w:val="single" w:sz="4" w:space="0" w:color="auto"/>
              <w:bottom w:val="nil"/>
              <w:right w:val="single" w:sz="4" w:space="0" w:color="auto"/>
            </w:tcBorders>
          </w:tcPr>
          <w:p w14:paraId="70829089"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5BEFBAD3" w14:textId="77777777" w:rsidR="008F56BD" w:rsidRDefault="008F56BD">
            <w:pPr>
              <w:spacing w:line="276" w:lineRule="auto"/>
              <w:ind w:left="113" w:hanging="113"/>
              <w:rPr>
                <w:sz w:val="18"/>
                <w:szCs w:val="18"/>
              </w:rPr>
            </w:pPr>
            <w:r>
              <w:rPr>
                <w:sz w:val="18"/>
                <w:szCs w:val="18"/>
              </w:rPr>
              <w:t>Poultry, livestock, frozen &amp; packaged</w:t>
            </w:r>
          </w:p>
        </w:tc>
        <w:tc>
          <w:tcPr>
            <w:tcW w:w="1977" w:type="dxa"/>
            <w:tcBorders>
              <w:top w:val="dotted" w:sz="4" w:space="0" w:color="auto"/>
              <w:left w:val="single" w:sz="4" w:space="0" w:color="auto"/>
              <w:bottom w:val="dotted" w:sz="4" w:space="0" w:color="auto"/>
              <w:right w:val="single" w:sz="4" w:space="0" w:color="auto"/>
            </w:tcBorders>
            <w:hideMark/>
          </w:tcPr>
          <w:p w14:paraId="16DF0F97" w14:textId="77777777" w:rsidR="008F56BD" w:rsidRDefault="008F56BD">
            <w:pPr>
              <w:spacing w:line="276" w:lineRule="auto"/>
              <w:rPr>
                <w:sz w:val="18"/>
                <w:szCs w:val="18"/>
              </w:rPr>
            </w:pPr>
            <w:r>
              <w:rPr>
                <w:sz w:val="18"/>
                <w:szCs w:val="18"/>
              </w:rPr>
              <w:t>≤2.5</w:t>
            </w:r>
          </w:p>
        </w:tc>
      </w:tr>
      <w:tr w:rsidR="008F56BD" w14:paraId="305AF95E" w14:textId="77777777" w:rsidTr="008F56BD">
        <w:trPr>
          <w:trHeight w:val="263"/>
        </w:trPr>
        <w:tc>
          <w:tcPr>
            <w:tcW w:w="1731" w:type="dxa"/>
            <w:tcBorders>
              <w:top w:val="nil"/>
              <w:left w:val="single" w:sz="4" w:space="0" w:color="auto"/>
              <w:bottom w:val="nil"/>
              <w:right w:val="single" w:sz="4" w:space="0" w:color="auto"/>
            </w:tcBorders>
          </w:tcPr>
          <w:p w14:paraId="0A68F05F"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76DA2DD9" w14:textId="77777777" w:rsidR="008F56BD" w:rsidRDefault="008F56BD">
            <w:pPr>
              <w:spacing w:line="276" w:lineRule="auto"/>
              <w:ind w:left="113" w:hanging="113"/>
              <w:rPr>
                <w:sz w:val="18"/>
                <w:szCs w:val="18"/>
              </w:rPr>
            </w:pPr>
            <w:r>
              <w:rPr>
                <w:sz w:val="18"/>
                <w:szCs w:val="18"/>
              </w:rPr>
              <w:t xml:space="preserve">Beans </w:t>
            </w:r>
          </w:p>
        </w:tc>
        <w:tc>
          <w:tcPr>
            <w:tcW w:w="1977" w:type="dxa"/>
            <w:tcBorders>
              <w:top w:val="dotted" w:sz="4" w:space="0" w:color="auto"/>
              <w:left w:val="single" w:sz="4" w:space="0" w:color="auto"/>
              <w:bottom w:val="dotted" w:sz="4" w:space="0" w:color="auto"/>
              <w:right w:val="single" w:sz="4" w:space="0" w:color="auto"/>
            </w:tcBorders>
            <w:hideMark/>
          </w:tcPr>
          <w:p w14:paraId="2B1DC6A9" w14:textId="77777777" w:rsidR="008F56BD" w:rsidRDefault="008F56BD">
            <w:pPr>
              <w:spacing w:line="276" w:lineRule="auto"/>
              <w:rPr>
                <w:sz w:val="18"/>
                <w:szCs w:val="18"/>
              </w:rPr>
            </w:pPr>
            <w:r>
              <w:rPr>
                <w:sz w:val="18"/>
                <w:szCs w:val="18"/>
              </w:rPr>
              <w:t>≤0.2</w:t>
            </w:r>
          </w:p>
        </w:tc>
      </w:tr>
      <w:tr w:rsidR="008F56BD" w14:paraId="342E6BE6" w14:textId="77777777" w:rsidTr="008F56BD">
        <w:trPr>
          <w:trHeight w:val="263"/>
        </w:trPr>
        <w:tc>
          <w:tcPr>
            <w:tcW w:w="1731" w:type="dxa"/>
            <w:tcBorders>
              <w:top w:val="nil"/>
              <w:left w:val="single" w:sz="4" w:space="0" w:color="auto"/>
              <w:bottom w:val="nil"/>
              <w:right w:val="single" w:sz="4" w:space="0" w:color="auto"/>
            </w:tcBorders>
          </w:tcPr>
          <w:p w14:paraId="2D1D58ED"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dotted" w:sz="4" w:space="0" w:color="auto"/>
              <w:right w:val="single" w:sz="4" w:space="0" w:color="auto"/>
            </w:tcBorders>
            <w:hideMark/>
          </w:tcPr>
          <w:p w14:paraId="59E94467" w14:textId="77777777" w:rsidR="008F56BD" w:rsidRDefault="008F56BD">
            <w:pPr>
              <w:spacing w:line="276" w:lineRule="auto"/>
              <w:ind w:left="113" w:hanging="113"/>
              <w:rPr>
                <w:sz w:val="18"/>
                <w:szCs w:val="18"/>
              </w:rPr>
            </w:pPr>
            <w:r>
              <w:rPr>
                <w:sz w:val="18"/>
                <w:szCs w:val="18"/>
              </w:rPr>
              <w:t>Cereals, grains and products</w:t>
            </w:r>
          </w:p>
        </w:tc>
        <w:tc>
          <w:tcPr>
            <w:tcW w:w="1977" w:type="dxa"/>
            <w:tcBorders>
              <w:top w:val="dotted" w:sz="4" w:space="0" w:color="auto"/>
              <w:left w:val="single" w:sz="4" w:space="0" w:color="auto"/>
              <w:bottom w:val="dotted" w:sz="4" w:space="0" w:color="auto"/>
              <w:right w:val="single" w:sz="4" w:space="0" w:color="auto"/>
            </w:tcBorders>
            <w:hideMark/>
          </w:tcPr>
          <w:p w14:paraId="64F2081F" w14:textId="77777777" w:rsidR="008F56BD" w:rsidRDefault="008F56BD">
            <w:pPr>
              <w:spacing w:line="276" w:lineRule="auto"/>
              <w:rPr>
                <w:sz w:val="18"/>
                <w:szCs w:val="18"/>
              </w:rPr>
            </w:pPr>
            <w:r>
              <w:rPr>
                <w:sz w:val="18"/>
                <w:szCs w:val="18"/>
              </w:rPr>
              <w:t>0.4 to 0.6</w:t>
            </w:r>
          </w:p>
        </w:tc>
      </w:tr>
      <w:tr w:rsidR="008F56BD" w14:paraId="6E2AA869" w14:textId="77777777" w:rsidTr="008F56BD">
        <w:trPr>
          <w:trHeight w:val="263"/>
        </w:trPr>
        <w:tc>
          <w:tcPr>
            <w:tcW w:w="1731" w:type="dxa"/>
            <w:tcBorders>
              <w:top w:val="nil"/>
              <w:left w:val="single" w:sz="4" w:space="0" w:color="auto"/>
              <w:bottom w:val="single" w:sz="4" w:space="0" w:color="auto"/>
              <w:right w:val="single" w:sz="4" w:space="0" w:color="auto"/>
            </w:tcBorders>
          </w:tcPr>
          <w:p w14:paraId="73EE19D6" w14:textId="77777777" w:rsidR="008F56BD" w:rsidRDefault="008F56BD">
            <w:pPr>
              <w:spacing w:line="276" w:lineRule="auto"/>
              <w:rPr>
                <w:rFonts w:eastAsia="Arial Unicode MS"/>
                <w:sz w:val="18"/>
                <w:szCs w:val="18"/>
              </w:rPr>
            </w:pPr>
          </w:p>
        </w:tc>
        <w:tc>
          <w:tcPr>
            <w:tcW w:w="5352" w:type="dxa"/>
            <w:tcBorders>
              <w:top w:val="dotted" w:sz="4" w:space="0" w:color="auto"/>
              <w:left w:val="single" w:sz="4" w:space="0" w:color="auto"/>
              <w:bottom w:val="single" w:sz="4" w:space="0" w:color="auto"/>
              <w:right w:val="single" w:sz="4" w:space="0" w:color="auto"/>
            </w:tcBorders>
            <w:hideMark/>
          </w:tcPr>
          <w:p w14:paraId="10622B4B" w14:textId="77777777" w:rsidR="008F56BD" w:rsidRDefault="008F56BD">
            <w:pPr>
              <w:spacing w:line="276" w:lineRule="auto"/>
              <w:ind w:left="113" w:hanging="113"/>
              <w:rPr>
                <w:sz w:val="18"/>
                <w:szCs w:val="18"/>
              </w:rPr>
            </w:pPr>
            <w:r>
              <w:rPr>
                <w:sz w:val="18"/>
                <w:szCs w:val="18"/>
              </w:rPr>
              <w:t>Sweet potato wine</w:t>
            </w:r>
          </w:p>
        </w:tc>
        <w:tc>
          <w:tcPr>
            <w:tcW w:w="1977" w:type="dxa"/>
            <w:tcBorders>
              <w:top w:val="dotted" w:sz="4" w:space="0" w:color="auto"/>
              <w:left w:val="single" w:sz="4" w:space="0" w:color="auto"/>
              <w:bottom w:val="single" w:sz="4" w:space="0" w:color="auto"/>
              <w:right w:val="single" w:sz="4" w:space="0" w:color="auto"/>
            </w:tcBorders>
            <w:hideMark/>
          </w:tcPr>
          <w:p w14:paraId="21239C2A" w14:textId="77777777" w:rsidR="008F56BD" w:rsidRDefault="008F56BD">
            <w:pPr>
              <w:spacing w:line="276" w:lineRule="auto"/>
              <w:rPr>
                <w:sz w:val="18"/>
                <w:szCs w:val="18"/>
              </w:rPr>
            </w:pPr>
            <w:r>
              <w:rPr>
                <w:sz w:val="18"/>
                <w:szCs w:val="18"/>
              </w:rPr>
              <w:t>≤4.0</w:t>
            </w:r>
          </w:p>
        </w:tc>
      </w:tr>
      <w:tr w:rsidR="008F56BD" w14:paraId="322A8B81" w14:textId="77777777" w:rsidTr="008F56BD">
        <w:tc>
          <w:tcPr>
            <w:tcW w:w="1731" w:type="dxa"/>
            <w:tcBorders>
              <w:top w:val="single" w:sz="4" w:space="0" w:color="auto"/>
              <w:left w:val="single" w:sz="4" w:space="0" w:color="auto"/>
              <w:bottom w:val="single" w:sz="4" w:space="0" w:color="auto"/>
              <w:right w:val="single" w:sz="4" w:space="0" w:color="auto"/>
            </w:tcBorders>
            <w:hideMark/>
          </w:tcPr>
          <w:p w14:paraId="758BA3FA" w14:textId="77777777" w:rsidR="008F56BD" w:rsidRDefault="008F56BD">
            <w:pPr>
              <w:spacing w:line="276" w:lineRule="auto"/>
              <w:rPr>
                <w:rFonts w:eastAsia="Arial Unicode MS"/>
                <w:sz w:val="18"/>
                <w:szCs w:val="18"/>
              </w:rPr>
            </w:pPr>
            <w:r>
              <w:rPr>
                <w:rFonts w:eastAsia="Arial Unicode MS"/>
                <w:sz w:val="18"/>
                <w:szCs w:val="18"/>
              </w:rPr>
              <w:t>Singapore</w:t>
            </w:r>
          </w:p>
        </w:tc>
        <w:tc>
          <w:tcPr>
            <w:tcW w:w="5352" w:type="dxa"/>
            <w:tcBorders>
              <w:top w:val="single" w:sz="4" w:space="0" w:color="auto"/>
              <w:left w:val="single" w:sz="4" w:space="0" w:color="auto"/>
              <w:bottom w:val="single" w:sz="4" w:space="0" w:color="auto"/>
              <w:right w:val="single" w:sz="4" w:space="0" w:color="auto"/>
            </w:tcBorders>
            <w:hideMark/>
          </w:tcPr>
          <w:p w14:paraId="091E93F4" w14:textId="41493C44" w:rsidR="008F56BD" w:rsidRDefault="008F56BD">
            <w:pPr>
              <w:spacing w:line="276" w:lineRule="auto"/>
              <w:rPr>
                <w:sz w:val="18"/>
                <w:szCs w:val="18"/>
              </w:rPr>
            </w:pPr>
            <w:r>
              <w:rPr>
                <w:sz w:val="18"/>
                <w:szCs w:val="18"/>
              </w:rPr>
              <w:t>Ionising radiation to be conducted according to the requirements of the Codex General Standard for Irradiated Foods (</w:t>
            </w:r>
            <w:r w:rsidR="00C7604A" w:rsidRPr="00C7604A">
              <w:rPr>
                <w:sz w:val="18"/>
                <w:szCs w:val="18"/>
              </w:rPr>
              <w:t>CXS</w:t>
            </w:r>
            <w:r>
              <w:rPr>
                <w:sz w:val="18"/>
                <w:szCs w:val="18"/>
              </w:rPr>
              <w:t xml:space="preserve"> 106-1983</w:t>
            </w:r>
            <w:r w:rsidR="00C7604A" w:rsidRPr="00C7604A">
              <w:rPr>
                <w:sz w:val="18"/>
                <w:szCs w:val="18"/>
              </w:rPr>
              <w:t>, Rev.1–2003</w:t>
            </w:r>
            <w:r>
              <w:rPr>
                <w:sz w:val="18"/>
                <w:szCs w:val="18"/>
              </w:rPr>
              <w:t xml:space="preserve">) </w:t>
            </w:r>
          </w:p>
        </w:tc>
        <w:tc>
          <w:tcPr>
            <w:tcW w:w="1977" w:type="dxa"/>
            <w:tcBorders>
              <w:top w:val="single" w:sz="4" w:space="0" w:color="auto"/>
              <w:left w:val="single" w:sz="4" w:space="0" w:color="auto"/>
              <w:bottom w:val="single" w:sz="4" w:space="0" w:color="auto"/>
              <w:right w:val="single" w:sz="4" w:space="0" w:color="auto"/>
            </w:tcBorders>
            <w:hideMark/>
          </w:tcPr>
          <w:p w14:paraId="751E9AEE" w14:textId="77777777" w:rsidR="008F56BD" w:rsidRDefault="008F56BD">
            <w:pPr>
              <w:spacing w:line="276" w:lineRule="auto"/>
              <w:rPr>
                <w:sz w:val="18"/>
                <w:szCs w:val="18"/>
              </w:rPr>
            </w:pPr>
            <w:r>
              <w:rPr>
                <w:sz w:val="18"/>
                <w:szCs w:val="18"/>
              </w:rPr>
              <w:t>10</w:t>
            </w:r>
          </w:p>
        </w:tc>
      </w:tr>
    </w:tbl>
    <w:p w14:paraId="2536B532" w14:textId="77777777" w:rsidR="008F56BD" w:rsidRDefault="008F56BD" w:rsidP="008F56BD"/>
    <w:bookmarkEnd w:id="293"/>
    <w:bookmarkEnd w:id="294"/>
    <w:p w14:paraId="0252670B" w14:textId="5F05E70D" w:rsidR="008A6921" w:rsidRDefault="008A6921">
      <w:pPr>
        <w:widowControl/>
        <w:rPr>
          <w:rFonts w:cs="Arial"/>
          <w:b/>
          <w:bCs/>
          <w:sz w:val="28"/>
          <w:szCs w:val="22"/>
          <w:lang w:bidi="ar-SA"/>
        </w:rPr>
      </w:pPr>
      <w:r>
        <w:br w:type="page"/>
      </w:r>
    </w:p>
    <w:p w14:paraId="007DC26E" w14:textId="18E40958" w:rsidR="00456BD5" w:rsidRDefault="00AF38B0" w:rsidP="00AF38B0">
      <w:pPr>
        <w:pStyle w:val="Heading2"/>
      </w:pPr>
      <w:bookmarkStart w:id="310" w:name="_Ref65681610"/>
      <w:bookmarkStart w:id="311" w:name="_Toc65684172"/>
      <w:bookmarkStart w:id="312" w:name="_Toc71204399"/>
      <w:r>
        <w:lastRenderedPageBreak/>
        <w:t xml:space="preserve">Appendix </w:t>
      </w:r>
      <w:r w:rsidR="00DC604B">
        <w:fldChar w:fldCharType="begin"/>
      </w:r>
      <w:r w:rsidR="00DC604B">
        <w:instrText xml:space="preserve"> SEQ Appendix \* ARABIC </w:instrText>
      </w:r>
      <w:r w:rsidR="00DC604B">
        <w:fldChar w:fldCharType="separate"/>
      </w:r>
      <w:r w:rsidR="00A67B9C">
        <w:rPr>
          <w:noProof/>
        </w:rPr>
        <w:t>2</w:t>
      </w:r>
      <w:r w:rsidR="00DC604B">
        <w:rPr>
          <w:noProof/>
        </w:rPr>
        <w:fldChar w:fldCharType="end"/>
      </w:r>
      <w:bookmarkEnd w:id="310"/>
      <w:r w:rsidR="008A6921" w:rsidRPr="0080668C">
        <w:t xml:space="preserve">: </w:t>
      </w:r>
      <w:r w:rsidR="008A6921" w:rsidRPr="008A6921">
        <w:t>Issues raised in submissions and FSANZ response</w:t>
      </w:r>
      <w:bookmarkEnd w:id="311"/>
      <w:bookmarkEnd w:id="312"/>
    </w:p>
    <w:p w14:paraId="2B3F8556" w14:textId="6853E268" w:rsidR="008A6921" w:rsidRDefault="008A6921" w:rsidP="008A6921">
      <w:pPr>
        <w:rPr>
          <w:lang w:bidi="ar-SA"/>
        </w:rPr>
      </w:pPr>
      <w:r>
        <w:rPr>
          <w:lang w:bidi="ar-SA"/>
        </w:rPr>
        <w:t xml:space="preserve">Provided as a separate </w:t>
      </w:r>
      <w:r w:rsidR="00D176DE" w:rsidRPr="00D176DE">
        <w:rPr>
          <w:lang w:bidi="ar-SA"/>
        </w:rPr>
        <w:t>document</w:t>
      </w:r>
      <w:r>
        <w:rPr>
          <w:lang w:bidi="ar-SA"/>
        </w:rPr>
        <w:t>.</w:t>
      </w:r>
    </w:p>
    <w:p w14:paraId="22687F6C" w14:textId="70939F51" w:rsidR="008A6921" w:rsidRDefault="00AF38B0" w:rsidP="008A6921">
      <w:pPr>
        <w:pStyle w:val="Heading2"/>
      </w:pPr>
      <w:bookmarkStart w:id="313" w:name="_Ref65681659"/>
      <w:bookmarkStart w:id="314" w:name="_Toc65684173"/>
      <w:bookmarkStart w:id="315" w:name="_Toc71204400"/>
      <w:r>
        <w:t xml:space="preserve">Appendix </w:t>
      </w:r>
      <w:r w:rsidR="00DC604B">
        <w:fldChar w:fldCharType="begin"/>
      </w:r>
      <w:r w:rsidR="00DC604B">
        <w:instrText xml:space="preserve"> SEQ Appendix \* ARABIC </w:instrText>
      </w:r>
      <w:r w:rsidR="00DC604B">
        <w:fldChar w:fldCharType="separate"/>
      </w:r>
      <w:r w:rsidR="00A67B9C">
        <w:rPr>
          <w:noProof/>
        </w:rPr>
        <w:t>3</w:t>
      </w:r>
      <w:r w:rsidR="00DC604B">
        <w:rPr>
          <w:noProof/>
        </w:rPr>
        <w:fldChar w:fldCharType="end"/>
      </w:r>
      <w:bookmarkEnd w:id="313"/>
      <w:r w:rsidR="008A6921" w:rsidRPr="0080668C">
        <w:t xml:space="preserve">: </w:t>
      </w:r>
      <w:r w:rsidR="008A6921" w:rsidRPr="008A6921">
        <w:t>Issues raised in the ‘sample letter’ and associated webpages and FSANZ response</w:t>
      </w:r>
      <w:bookmarkEnd w:id="314"/>
      <w:bookmarkEnd w:id="315"/>
    </w:p>
    <w:p w14:paraId="463CEB33" w14:textId="16E1C12A" w:rsidR="008A6921" w:rsidRPr="008A6921" w:rsidRDefault="008A6921" w:rsidP="008A6921">
      <w:pPr>
        <w:rPr>
          <w:lang w:bidi="ar-SA"/>
        </w:rPr>
      </w:pPr>
      <w:r>
        <w:rPr>
          <w:lang w:bidi="ar-SA"/>
        </w:rPr>
        <w:t xml:space="preserve">Provided as a separate </w:t>
      </w:r>
      <w:r w:rsidRPr="00D176DE">
        <w:rPr>
          <w:lang w:bidi="ar-SA"/>
        </w:rPr>
        <w:t>document</w:t>
      </w:r>
      <w:r>
        <w:rPr>
          <w:lang w:bidi="ar-SA"/>
        </w:rPr>
        <w:t>.</w:t>
      </w:r>
    </w:p>
    <w:p w14:paraId="3103B845" w14:textId="25C5CF44" w:rsidR="008A6921" w:rsidRDefault="008A6921" w:rsidP="008A6921">
      <w:pPr>
        <w:pStyle w:val="Heading2"/>
      </w:pPr>
      <w:bookmarkStart w:id="316" w:name="_Ref65681694"/>
      <w:bookmarkStart w:id="317" w:name="_Toc65684174"/>
      <w:bookmarkStart w:id="318" w:name="_Toc71204401"/>
      <w:r w:rsidRPr="0080668C">
        <w:t xml:space="preserve">Appendix </w:t>
      </w:r>
      <w:r w:rsidR="00DC604B">
        <w:fldChar w:fldCharType="begin"/>
      </w:r>
      <w:r w:rsidR="00DC604B">
        <w:instrText xml:space="preserve"> SEQ Appendix \* ARABIC </w:instrText>
      </w:r>
      <w:r w:rsidR="00DC604B">
        <w:fldChar w:fldCharType="separate"/>
      </w:r>
      <w:r w:rsidR="00A67B9C">
        <w:rPr>
          <w:noProof/>
        </w:rPr>
        <w:t>4</w:t>
      </w:r>
      <w:r w:rsidR="00DC604B">
        <w:rPr>
          <w:noProof/>
        </w:rPr>
        <w:fldChar w:fldCharType="end"/>
      </w:r>
      <w:bookmarkEnd w:id="316"/>
      <w:r w:rsidR="00AF38B0">
        <w:t xml:space="preserve">: </w:t>
      </w:r>
      <w:r w:rsidRPr="008A6921">
        <w:t>Food Irradiation Watch/Gene Ethics questions on the application and SD1 and FSANZ response</w:t>
      </w:r>
      <w:bookmarkEnd w:id="317"/>
      <w:bookmarkEnd w:id="318"/>
    </w:p>
    <w:p w14:paraId="5A06194E" w14:textId="107CADD0" w:rsidR="008A6921" w:rsidRPr="008A6921" w:rsidRDefault="008A6921" w:rsidP="008A6921">
      <w:pPr>
        <w:rPr>
          <w:lang w:bidi="ar-SA"/>
        </w:rPr>
      </w:pPr>
      <w:r>
        <w:rPr>
          <w:lang w:bidi="ar-SA"/>
        </w:rPr>
        <w:t xml:space="preserve">Provided as a separate </w:t>
      </w:r>
      <w:r w:rsidRPr="00D176DE">
        <w:rPr>
          <w:lang w:bidi="ar-SA"/>
        </w:rPr>
        <w:t>document</w:t>
      </w:r>
      <w:r>
        <w:rPr>
          <w:lang w:bidi="ar-SA"/>
        </w:rPr>
        <w:t>.</w:t>
      </w:r>
    </w:p>
    <w:p w14:paraId="3FF44E68" w14:textId="77777777" w:rsidR="008A6921" w:rsidRPr="008A6921" w:rsidRDefault="008A6921" w:rsidP="008A6921">
      <w:pPr>
        <w:rPr>
          <w:lang w:bidi="ar-SA"/>
        </w:rPr>
      </w:pPr>
    </w:p>
    <w:sectPr w:rsidR="008A6921" w:rsidRPr="008A6921" w:rsidSect="0080668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4C55B" w14:textId="77777777" w:rsidR="004F0C78" w:rsidRDefault="004F0C78">
      <w:r>
        <w:separator/>
      </w:r>
    </w:p>
    <w:p w14:paraId="02F3E943" w14:textId="77777777" w:rsidR="004F0C78" w:rsidRDefault="004F0C78"/>
  </w:endnote>
  <w:endnote w:type="continuationSeparator" w:id="0">
    <w:p w14:paraId="0DCFFFEE" w14:textId="77777777" w:rsidR="004F0C78" w:rsidRDefault="004F0C78">
      <w:r>
        <w:continuationSeparator/>
      </w:r>
    </w:p>
    <w:p w14:paraId="7F9A14F0" w14:textId="77777777" w:rsidR="004F0C78" w:rsidRDefault="004F0C78"/>
  </w:endnote>
  <w:endnote w:type="continuationNotice" w:id="1">
    <w:p w14:paraId="1EF0EA32" w14:textId="77777777" w:rsidR="004F0C78" w:rsidRDefault="004F0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3BCC8" w14:textId="7D3D3787" w:rsidR="004F0C78" w:rsidRDefault="004F0C78" w:rsidP="00870D9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62E4A54" w14:textId="77777777" w:rsidR="004F0C78" w:rsidRDefault="004F0C78" w:rsidP="00CF3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072C743F" w14:textId="3EAB0AF1" w:rsidR="004F0C78" w:rsidRDefault="004F0C78" w:rsidP="00A671E6">
        <w:pPr>
          <w:pStyle w:val="Footer"/>
          <w:jc w:val="center"/>
        </w:pPr>
        <w:r>
          <w:fldChar w:fldCharType="begin"/>
        </w:r>
        <w:r>
          <w:instrText xml:space="preserve"> PAGE   \* MERGEFORMAT </w:instrText>
        </w:r>
        <w:r>
          <w:fldChar w:fldCharType="separate"/>
        </w:r>
        <w:r w:rsidR="00DC604B">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FD4B6" w14:textId="77777777" w:rsidR="004F0C78" w:rsidRDefault="004F0C78">
      <w:r>
        <w:separator/>
      </w:r>
    </w:p>
  </w:footnote>
  <w:footnote w:type="continuationSeparator" w:id="0">
    <w:p w14:paraId="6EE5F503" w14:textId="77777777" w:rsidR="004F0C78" w:rsidRDefault="004F0C78">
      <w:r>
        <w:continuationSeparator/>
      </w:r>
    </w:p>
  </w:footnote>
  <w:footnote w:type="continuationNotice" w:id="1">
    <w:p w14:paraId="0FD785E1" w14:textId="77777777" w:rsidR="004F0C78" w:rsidRDefault="004F0C78"/>
  </w:footnote>
  <w:footnote w:id="2">
    <w:p w14:paraId="3F223188" w14:textId="7D320874" w:rsidR="004F0C78" w:rsidRPr="002C08BC" w:rsidRDefault="004F0C78">
      <w:pPr>
        <w:pStyle w:val="FootnoteText"/>
        <w:rPr>
          <w:lang w:val="en-AU"/>
        </w:rPr>
      </w:pPr>
      <w:r>
        <w:rPr>
          <w:rStyle w:val="FootnoteReference"/>
        </w:rPr>
        <w:footnoteRef/>
      </w:r>
      <w:r>
        <w:t xml:space="preserve"> </w:t>
      </w:r>
      <w:hyperlink r:id="rId1" w:history="1">
        <w:r w:rsidRPr="00446B57">
          <w:rPr>
            <w:rStyle w:val="Hyperlink"/>
          </w:rPr>
          <w:t>https://www.foodstandards.gov.au/code/applications/Pages/A1193.aspx</w:t>
        </w:r>
      </w:hyperlink>
      <w:r>
        <w:t xml:space="preserve"> </w:t>
      </w:r>
    </w:p>
  </w:footnote>
  <w:footnote w:id="3">
    <w:p w14:paraId="5EA89019" w14:textId="27672C44" w:rsidR="004F0C78" w:rsidRPr="004E7135" w:rsidRDefault="004F0C78">
      <w:pPr>
        <w:pStyle w:val="FootnoteText"/>
        <w:rPr>
          <w:lang w:val="en-AU"/>
        </w:rPr>
      </w:pPr>
      <w:r>
        <w:rPr>
          <w:rStyle w:val="FootnoteReference"/>
        </w:rPr>
        <w:footnoteRef/>
      </w:r>
      <w:r>
        <w:t xml:space="preserve"> </w:t>
      </w:r>
      <w:r w:rsidRPr="004E7135">
        <w:t>A phytosanitary measure includes any legislation, regulation or official requirement that prevents the introduction and/or spread of quarantine pests.</w:t>
      </w:r>
    </w:p>
  </w:footnote>
  <w:footnote w:id="4">
    <w:p w14:paraId="2A264F14" w14:textId="77777777" w:rsidR="004F0C78" w:rsidRPr="005E52E0" w:rsidRDefault="004F0C78" w:rsidP="00B46DEE">
      <w:pPr>
        <w:pStyle w:val="FootnoteText"/>
        <w:rPr>
          <w:lang w:val="en-AU"/>
        </w:rPr>
      </w:pPr>
      <w:r>
        <w:rPr>
          <w:rStyle w:val="FootnoteReference"/>
        </w:rPr>
        <w:footnoteRef/>
      </w:r>
      <w:r>
        <w:t xml:space="preserve"> </w:t>
      </w:r>
      <w:r>
        <w:rPr>
          <w:lang w:val="en-AU"/>
        </w:rPr>
        <w:t xml:space="preserve">See A1092 Irradiation of specific fruits and vegetables Approval Report, SD2 Risk and technical report. </w:t>
      </w:r>
      <w:hyperlink r:id="rId2" w:history="1">
        <w:r>
          <w:rPr>
            <w:rStyle w:val="Hyperlink"/>
          </w:rPr>
          <w:t>A1092-Irradiation-AppR-SD2.pdf (foodstandards.gov.au)</w:t>
        </w:r>
      </w:hyperlink>
    </w:p>
  </w:footnote>
  <w:footnote w:id="5">
    <w:p w14:paraId="3ED21721" w14:textId="26CAA46F" w:rsidR="004F0C78" w:rsidRDefault="004F0C78" w:rsidP="008F56BD">
      <w:pPr>
        <w:pStyle w:val="FootnoteText"/>
        <w:rPr>
          <w:sz w:val="18"/>
          <w:szCs w:val="18"/>
          <w:lang w:val="en-AU"/>
        </w:rPr>
      </w:pPr>
      <w:r>
        <w:rPr>
          <w:rStyle w:val="FootnoteReference"/>
          <w:sz w:val="18"/>
          <w:szCs w:val="18"/>
        </w:rPr>
        <w:footnoteRef/>
      </w:r>
      <w:r>
        <w:rPr>
          <w:sz w:val="18"/>
          <w:szCs w:val="18"/>
        </w:rPr>
        <w:t xml:space="preserve"> </w:t>
      </w:r>
      <w:r>
        <w:rPr>
          <w:sz w:val="18"/>
          <w:szCs w:val="18"/>
          <w:lang w:val="en-AU"/>
        </w:rPr>
        <w:t>In the USA, food irradiation is considered as a food additive under their legislation.</w:t>
      </w:r>
    </w:p>
    <w:p w14:paraId="47130A65" w14:textId="77777777" w:rsidR="004F0C78" w:rsidRDefault="004F0C78" w:rsidP="008F56BD">
      <w:pPr>
        <w:pStyle w:val="FootnoteText"/>
        <w:rPr>
          <w:sz w:val="18"/>
          <w:szCs w:val="18"/>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3A07" w14:textId="77777777" w:rsidR="004F0C78" w:rsidRDefault="004F0C7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7BB9"/>
    <w:multiLevelType w:val="hybridMultilevel"/>
    <w:tmpl w:val="9490F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3EE51A8"/>
    <w:multiLevelType w:val="hybridMultilevel"/>
    <w:tmpl w:val="C332E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DC614E"/>
    <w:multiLevelType w:val="hybridMultilevel"/>
    <w:tmpl w:val="6CF205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B1B1C3D"/>
    <w:multiLevelType w:val="hybridMultilevel"/>
    <w:tmpl w:val="19CC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F262D"/>
    <w:multiLevelType w:val="hybridMultilevel"/>
    <w:tmpl w:val="8FC4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54271"/>
    <w:multiLevelType w:val="hybridMultilevel"/>
    <w:tmpl w:val="4AECBDE4"/>
    <w:lvl w:ilvl="0" w:tplc="FDFEA674">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64B43C0"/>
    <w:multiLevelType w:val="hybridMultilevel"/>
    <w:tmpl w:val="984AB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25B65"/>
    <w:multiLevelType w:val="hybridMultilevel"/>
    <w:tmpl w:val="14A2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92BC6"/>
    <w:multiLevelType w:val="hybridMultilevel"/>
    <w:tmpl w:val="1E60AD52"/>
    <w:lvl w:ilvl="0" w:tplc="08090001">
      <w:start w:val="1"/>
      <w:numFmt w:val="bullet"/>
      <w:lvlText w:val=""/>
      <w:lvlJc w:val="left"/>
      <w:pPr>
        <w:ind w:left="360" w:hanging="360"/>
      </w:pPr>
      <w:rPr>
        <w:rFonts w:ascii="Symbol" w:hAnsi="Symbol" w:hint="default"/>
      </w:rPr>
    </w:lvl>
    <w:lvl w:ilvl="1" w:tplc="A29258CA">
      <w:numFmt w:val="bullet"/>
      <w:lvlText w:val="•"/>
      <w:lvlJc w:val="left"/>
      <w:pPr>
        <w:ind w:left="1290" w:hanging="57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E035D9"/>
    <w:multiLevelType w:val="hybridMultilevel"/>
    <w:tmpl w:val="E6A25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A3735E8"/>
    <w:multiLevelType w:val="hybridMultilevel"/>
    <w:tmpl w:val="8FF63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94C4CB7"/>
    <w:multiLevelType w:val="hybridMultilevel"/>
    <w:tmpl w:val="BE9E2DBC"/>
    <w:lvl w:ilvl="0" w:tplc="FDFEA674">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AF62AF"/>
    <w:multiLevelType w:val="hybridMultilevel"/>
    <w:tmpl w:val="5AEE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B16C9"/>
    <w:multiLevelType w:val="hybridMultilevel"/>
    <w:tmpl w:val="BE0C6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9C5797"/>
    <w:multiLevelType w:val="hybridMultilevel"/>
    <w:tmpl w:val="9230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415CF"/>
    <w:multiLevelType w:val="hybridMultilevel"/>
    <w:tmpl w:val="D38AE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5A44B2"/>
    <w:multiLevelType w:val="hybridMultilevel"/>
    <w:tmpl w:val="3154E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6415E2"/>
    <w:multiLevelType w:val="hybridMultilevel"/>
    <w:tmpl w:val="7648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B6A40"/>
    <w:multiLevelType w:val="hybridMultilevel"/>
    <w:tmpl w:val="B654692C"/>
    <w:lvl w:ilvl="0" w:tplc="05389786">
      <w:numFmt w:val="bullet"/>
      <w:lvlText w:val="-"/>
      <w:lvlJc w:val="left"/>
      <w:pPr>
        <w:ind w:left="714" w:hanging="360"/>
      </w:pPr>
      <w:rPr>
        <w:rFonts w:ascii="Arial" w:eastAsia="Times New Roman" w:hAnsi="Arial" w:cs="Aria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2" w15:restartNumberingAfterBreak="0">
    <w:nsid w:val="756C794C"/>
    <w:multiLevelType w:val="hybridMultilevel"/>
    <w:tmpl w:val="557610BE"/>
    <w:lvl w:ilvl="0" w:tplc="05389786">
      <w:numFmt w:val="bullet"/>
      <w:lvlText w:val="-"/>
      <w:lvlJc w:val="left"/>
      <w:pPr>
        <w:ind w:left="714" w:hanging="360"/>
      </w:pPr>
      <w:rPr>
        <w:rFonts w:ascii="Arial" w:eastAsia="Times New Roman" w:hAnsi="Arial" w:cs="Aria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num w:numId="1">
    <w:abstractNumId w:val="12"/>
  </w:num>
  <w:num w:numId="2">
    <w:abstractNumId w:val="1"/>
  </w:num>
  <w:num w:numId="3">
    <w:abstractNumId w:val="13"/>
  </w:num>
  <w:num w:numId="4">
    <w:abstractNumId w:val="20"/>
  </w:num>
  <w:num w:numId="5">
    <w:abstractNumId w:val="6"/>
  </w:num>
  <w:num w:numId="6">
    <w:abstractNumId w:val="12"/>
  </w:num>
  <w:num w:numId="7">
    <w:abstractNumId w:val="14"/>
  </w:num>
  <w:num w:numId="8">
    <w:abstractNumId w:val="11"/>
  </w:num>
  <w:num w:numId="9">
    <w:abstractNumId w:val="17"/>
  </w:num>
  <w:num w:numId="10">
    <w:abstractNumId w:val="3"/>
  </w:num>
  <w:num w:numId="11">
    <w:abstractNumId w:val="2"/>
  </w:num>
  <w:num w:numId="12">
    <w:abstractNumId w:val="8"/>
  </w:num>
  <w:num w:numId="13">
    <w:abstractNumId w:val="4"/>
  </w:num>
  <w:num w:numId="14">
    <w:abstractNumId w:val="5"/>
  </w:num>
  <w:num w:numId="15">
    <w:abstractNumId w:val="10"/>
  </w:num>
  <w:num w:numId="16">
    <w:abstractNumId w:val="19"/>
  </w:num>
  <w:num w:numId="17">
    <w:abstractNumId w:val="22"/>
  </w:num>
  <w:num w:numId="18">
    <w:abstractNumId w:val="9"/>
  </w:num>
  <w:num w:numId="19">
    <w:abstractNumId w:val="7"/>
  </w:num>
  <w:num w:numId="20">
    <w:abstractNumId w:val="0"/>
  </w:num>
  <w:num w:numId="21">
    <w:abstractNumId w:val="21"/>
  </w:num>
  <w:num w:numId="22">
    <w:abstractNumId w:val="15"/>
  </w:num>
  <w:num w:numId="23">
    <w:abstractNumId w:val="16"/>
  </w:num>
  <w:num w:numId="2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315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9F"/>
    <w:rsid w:val="000007C9"/>
    <w:rsid w:val="000014D6"/>
    <w:rsid w:val="0000247B"/>
    <w:rsid w:val="0000287D"/>
    <w:rsid w:val="00003036"/>
    <w:rsid w:val="00004689"/>
    <w:rsid w:val="0000469B"/>
    <w:rsid w:val="00004DB6"/>
    <w:rsid w:val="00006CBF"/>
    <w:rsid w:val="000102AC"/>
    <w:rsid w:val="00010E79"/>
    <w:rsid w:val="00011187"/>
    <w:rsid w:val="00011878"/>
    <w:rsid w:val="00013986"/>
    <w:rsid w:val="000140DB"/>
    <w:rsid w:val="000145D7"/>
    <w:rsid w:val="00014772"/>
    <w:rsid w:val="00014E34"/>
    <w:rsid w:val="00017BEE"/>
    <w:rsid w:val="00021C03"/>
    <w:rsid w:val="00023507"/>
    <w:rsid w:val="000268A5"/>
    <w:rsid w:val="00030BD8"/>
    <w:rsid w:val="000332AE"/>
    <w:rsid w:val="00035FF3"/>
    <w:rsid w:val="000365D2"/>
    <w:rsid w:val="0003759C"/>
    <w:rsid w:val="000418F0"/>
    <w:rsid w:val="0004374E"/>
    <w:rsid w:val="00044FEB"/>
    <w:rsid w:val="00045DEC"/>
    <w:rsid w:val="00046D80"/>
    <w:rsid w:val="00051021"/>
    <w:rsid w:val="000524F0"/>
    <w:rsid w:val="00052D54"/>
    <w:rsid w:val="00053D69"/>
    <w:rsid w:val="0005463B"/>
    <w:rsid w:val="000560A9"/>
    <w:rsid w:val="000576EB"/>
    <w:rsid w:val="00061044"/>
    <w:rsid w:val="000615F1"/>
    <w:rsid w:val="000626F1"/>
    <w:rsid w:val="00062CC9"/>
    <w:rsid w:val="00064B2D"/>
    <w:rsid w:val="00065F1F"/>
    <w:rsid w:val="00065FE2"/>
    <w:rsid w:val="000714A6"/>
    <w:rsid w:val="0007222D"/>
    <w:rsid w:val="00074338"/>
    <w:rsid w:val="00076D33"/>
    <w:rsid w:val="00076D3B"/>
    <w:rsid w:val="00077859"/>
    <w:rsid w:val="00077AEA"/>
    <w:rsid w:val="00081B0A"/>
    <w:rsid w:val="00081DF2"/>
    <w:rsid w:val="000821D5"/>
    <w:rsid w:val="00082E66"/>
    <w:rsid w:val="000840A7"/>
    <w:rsid w:val="00085023"/>
    <w:rsid w:val="00085A82"/>
    <w:rsid w:val="000868C0"/>
    <w:rsid w:val="00086988"/>
    <w:rsid w:val="0009093B"/>
    <w:rsid w:val="00091D64"/>
    <w:rsid w:val="00093A00"/>
    <w:rsid w:val="00095D85"/>
    <w:rsid w:val="000A00E4"/>
    <w:rsid w:val="000A0E8D"/>
    <w:rsid w:val="000A2773"/>
    <w:rsid w:val="000A3D8B"/>
    <w:rsid w:val="000A45CF"/>
    <w:rsid w:val="000A465E"/>
    <w:rsid w:val="000A47CE"/>
    <w:rsid w:val="000A5B0E"/>
    <w:rsid w:val="000A660F"/>
    <w:rsid w:val="000B0A90"/>
    <w:rsid w:val="000B1C2C"/>
    <w:rsid w:val="000B30AD"/>
    <w:rsid w:val="000B3340"/>
    <w:rsid w:val="000B427A"/>
    <w:rsid w:val="000B4E86"/>
    <w:rsid w:val="000B692A"/>
    <w:rsid w:val="000B6AF2"/>
    <w:rsid w:val="000C1747"/>
    <w:rsid w:val="000C4348"/>
    <w:rsid w:val="000C5C33"/>
    <w:rsid w:val="000C5D54"/>
    <w:rsid w:val="000C711B"/>
    <w:rsid w:val="000D02A2"/>
    <w:rsid w:val="000D6A54"/>
    <w:rsid w:val="000D6FD4"/>
    <w:rsid w:val="000D7B1C"/>
    <w:rsid w:val="000E0299"/>
    <w:rsid w:val="000E0388"/>
    <w:rsid w:val="000E0AE4"/>
    <w:rsid w:val="000E0BBC"/>
    <w:rsid w:val="000E189D"/>
    <w:rsid w:val="000E1EA4"/>
    <w:rsid w:val="000E2BAF"/>
    <w:rsid w:val="000E3DBC"/>
    <w:rsid w:val="000E47E7"/>
    <w:rsid w:val="000E5880"/>
    <w:rsid w:val="000E5AFD"/>
    <w:rsid w:val="000E5C11"/>
    <w:rsid w:val="000E64BC"/>
    <w:rsid w:val="000E662F"/>
    <w:rsid w:val="000E7935"/>
    <w:rsid w:val="000F166B"/>
    <w:rsid w:val="000F3099"/>
    <w:rsid w:val="000F3261"/>
    <w:rsid w:val="000F3CFE"/>
    <w:rsid w:val="000F58C0"/>
    <w:rsid w:val="000F6568"/>
    <w:rsid w:val="000F7F65"/>
    <w:rsid w:val="001018C0"/>
    <w:rsid w:val="00101AA2"/>
    <w:rsid w:val="001025B3"/>
    <w:rsid w:val="00102819"/>
    <w:rsid w:val="001038FB"/>
    <w:rsid w:val="00103CA5"/>
    <w:rsid w:val="00104544"/>
    <w:rsid w:val="001050F2"/>
    <w:rsid w:val="0010778D"/>
    <w:rsid w:val="00110BAE"/>
    <w:rsid w:val="001122EC"/>
    <w:rsid w:val="001131C3"/>
    <w:rsid w:val="0011485E"/>
    <w:rsid w:val="00116ACB"/>
    <w:rsid w:val="00117922"/>
    <w:rsid w:val="00120D21"/>
    <w:rsid w:val="0012388D"/>
    <w:rsid w:val="00124BBD"/>
    <w:rsid w:val="00136B57"/>
    <w:rsid w:val="001424A3"/>
    <w:rsid w:val="001432FB"/>
    <w:rsid w:val="00143A6E"/>
    <w:rsid w:val="00150154"/>
    <w:rsid w:val="00150B54"/>
    <w:rsid w:val="00151798"/>
    <w:rsid w:val="0015187A"/>
    <w:rsid w:val="00153859"/>
    <w:rsid w:val="00157B8E"/>
    <w:rsid w:val="00162732"/>
    <w:rsid w:val="00163290"/>
    <w:rsid w:val="00163960"/>
    <w:rsid w:val="00165FF2"/>
    <w:rsid w:val="00170AD5"/>
    <w:rsid w:val="00172026"/>
    <w:rsid w:val="0017419B"/>
    <w:rsid w:val="0018208B"/>
    <w:rsid w:val="00182C4C"/>
    <w:rsid w:val="001843C3"/>
    <w:rsid w:val="00184817"/>
    <w:rsid w:val="00184B90"/>
    <w:rsid w:val="001860AC"/>
    <w:rsid w:val="001878C5"/>
    <w:rsid w:val="0019039A"/>
    <w:rsid w:val="00191F63"/>
    <w:rsid w:val="0019399D"/>
    <w:rsid w:val="0019468E"/>
    <w:rsid w:val="00194792"/>
    <w:rsid w:val="00194D33"/>
    <w:rsid w:val="00197C27"/>
    <w:rsid w:val="00197D8D"/>
    <w:rsid w:val="00197E97"/>
    <w:rsid w:val="001A0036"/>
    <w:rsid w:val="001A1A75"/>
    <w:rsid w:val="001A5A2B"/>
    <w:rsid w:val="001A60E1"/>
    <w:rsid w:val="001A7E9A"/>
    <w:rsid w:val="001B1506"/>
    <w:rsid w:val="001B3BE4"/>
    <w:rsid w:val="001B5864"/>
    <w:rsid w:val="001B7060"/>
    <w:rsid w:val="001C27A3"/>
    <w:rsid w:val="001C5358"/>
    <w:rsid w:val="001C5546"/>
    <w:rsid w:val="001C55E1"/>
    <w:rsid w:val="001C5762"/>
    <w:rsid w:val="001C6BAA"/>
    <w:rsid w:val="001C7C0D"/>
    <w:rsid w:val="001D2BF3"/>
    <w:rsid w:val="001D3A09"/>
    <w:rsid w:val="001D4206"/>
    <w:rsid w:val="001D43F6"/>
    <w:rsid w:val="001D5770"/>
    <w:rsid w:val="001D69A8"/>
    <w:rsid w:val="001D6C2F"/>
    <w:rsid w:val="001E09FA"/>
    <w:rsid w:val="001E24A9"/>
    <w:rsid w:val="001E3E8F"/>
    <w:rsid w:val="001E5BDA"/>
    <w:rsid w:val="001E6C78"/>
    <w:rsid w:val="001E6CCE"/>
    <w:rsid w:val="001F30C0"/>
    <w:rsid w:val="001F4F7D"/>
    <w:rsid w:val="001F7A86"/>
    <w:rsid w:val="001F7F63"/>
    <w:rsid w:val="00201CC5"/>
    <w:rsid w:val="00202A6F"/>
    <w:rsid w:val="00203A0E"/>
    <w:rsid w:val="00212048"/>
    <w:rsid w:val="0021233F"/>
    <w:rsid w:val="00213C4E"/>
    <w:rsid w:val="00215FBC"/>
    <w:rsid w:val="00216C2B"/>
    <w:rsid w:val="00220FBA"/>
    <w:rsid w:val="0022197C"/>
    <w:rsid w:val="00221D07"/>
    <w:rsid w:val="00221F61"/>
    <w:rsid w:val="00224E3B"/>
    <w:rsid w:val="00225066"/>
    <w:rsid w:val="002255C3"/>
    <w:rsid w:val="002256B1"/>
    <w:rsid w:val="00225EBD"/>
    <w:rsid w:val="00227E4A"/>
    <w:rsid w:val="002310CE"/>
    <w:rsid w:val="00232789"/>
    <w:rsid w:val="00235A93"/>
    <w:rsid w:val="00235ECE"/>
    <w:rsid w:val="0023612A"/>
    <w:rsid w:val="002421C1"/>
    <w:rsid w:val="0024324F"/>
    <w:rsid w:val="00243D73"/>
    <w:rsid w:val="00243F63"/>
    <w:rsid w:val="00245366"/>
    <w:rsid w:val="00245C6A"/>
    <w:rsid w:val="00250197"/>
    <w:rsid w:val="00251FC0"/>
    <w:rsid w:val="00252465"/>
    <w:rsid w:val="00253A3E"/>
    <w:rsid w:val="00257483"/>
    <w:rsid w:val="0025797B"/>
    <w:rsid w:val="002611B5"/>
    <w:rsid w:val="00263613"/>
    <w:rsid w:val="0026387E"/>
    <w:rsid w:val="00263A27"/>
    <w:rsid w:val="002655A5"/>
    <w:rsid w:val="00270635"/>
    <w:rsid w:val="002715E2"/>
    <w:rsid w:val="00272824"/>
    <w:rsid w:val="00272A7D"/>
    <w:rsid w:val="002742ED"/>
    <w:rsid w:val="002758A0"/>
    <w:rsid w:val="00276FF2"/>
    <w:rsid w:val="002844B1"/>
    <w:rsid w:val="00286D18"/>
    <w:rsid w:val="0028725D"/>
    <w:rsid w:val="00291438"/>
    <w:rsid w:val="0029204E"/>
    <w:rsid w:val="00292B9B"/>
    <w:rsid w:val="002930AC"/>
    <w:rsid w:val="00293FAB"/>
    <w:rsid w:val="002957CC"/>
    <w:rsid w:val="002A0194"/>
    <w:rsid w:val="002A5F8B"/>
    <w:rsid w:val="002A6A44"/>
    <w:rsid w:val="002A7F6C"/>
    <w:rsid w:val="002B0071"/>
    <w:rsid w:val="002B06D0"/>
    <w:rsid w:val="002C08BC"/>
    <w:rsid w:val="002C1A3B"/>
    <w:rsid w:val="002C47B2"/>
    <w:rsid w:val="002C7AFA"/>
    <w:rsid w:val="002C7C59"/>
    <w:rsid w:val="002D0E8D"/>
    <w:rsid w:val="002D1D73"/>
    <w:rsid w:val="002D2F9B"/>
    <w:rsid w:val="002D6B63"/>
    <w:rsid w:val="002D7635"/>
    <w:rsid w:val="002E16D5"/>
    <w:rsid w:val="002E1820"/>
    <w:rsid w:val="002E2187"/>
    <w:rsid w:val="002E2F88"/>
    <w:rsid w:val="002E4164"/>
    <w:rsid w:val="002E4BD1"/>
    <w:rsid w:val="002E5298"/>
    <w:rsid w:val="002E7B32"/>
    <w:rsid w:val="002F1675"/>
    <w:rsid w:val="002F35EA"/>
    <w:rsid w:val="002F4297"/>
    <w:rsid w:val="002F5280"/>
    <w:rsid w:val="002F6488"/>
    <w:rsid w:val="002F7D8D"/>
    <w:rsid w:val="0030146B"/>
    <w:rsid w:val="00302332"/>
    <w:rsid w:val="003041C4"/>
    <w:rsid w:val="00305A38"/>
    <w:rsid w:val="00305C54"/>
    <w:rsid w:val="00307BA8"/>
    <w:rsid w:val="0031016C"/>
    <w:rsid w:val="00311393"/>
    <w:rsid w:val="00311630"/>
    <w:rsid w:val="00313005"/>
    <w:rsid w:val="003137EC"/>
    <w:rsid w:val="0031426B"/>
    <w:rsid w:val="0031509A"/>
    <w:rsid w:val="00315634"/>
    <w:rsid w:val="0031601C"/>
    <w:rsid w:val="0031677F"/>
    <w:rsid w:val="003204B4"/>
    <w:rsid w:val="003213F9"/>
    <w:rsid w:val="003218E1"/>
    <w:rsid w:val="00321A13"/>
    <w:rsid w:val="00322495"/>
    <w:rsid w:val="00322DF7"/>
    <w:rsid w:val="00323AB6"/>
    <w:rsid w:val="00323DBF"/>
    <w:rsid w:val="00323EF4"/>
    <w:rsid w:val="00324CCD"/>
    <w:rsid w:val="00325CDA"/>
    <w:rsid w:val="00326B0B"/>
    <w:rsid w:val="00326EE6"/>
    <w:rsid w:val="0032756B"/>
    <w:rsid w:val="00327867"/>
    <w:rsid w:val="00330E97"/>
    <w:rsid w:val="00331E1D"/>
    <w:rsid w:val="00332B12"/>
    <w:rsid w:val="00333E8E"/>
    <w:rsid w:val="00334E97"/>
    <w:rsid w:val="003357A3"/>
    <w:rsid w:val="0033621D"/>
    <w:rsid w:val="00337CBC"/>
    <w:rsid w:val="00337EA2"/>
    <w:rsid w:val="00340558"/>
    <w:rsid w:val="00340FD5"/>
    <w:rsid w:val="0034192F"/>
    <w:rsid w:val="0034213F"/>
    <w:rsid w:val="003428FC"/>
    <w:rsid w:val="00342C7A"/>
    <w:rsid w:val="003434A8"/>
    <w:rsid w:val="00343C1C"/>
    <w:rsid w:val="00345A82"/>
    <w:rsid w:val="00345D4E"/>
    <w:rsid w:val="00346080"/>
    <w:rsid w:val="00346622"/>
    <w:rsid w:val="00347320"/>
    <w:rsid w:val="003507DB"/>
    <w:rsid w:val="003507E4"/>
    <w:rsid w:val="0035106D"/>
    <w:rsid w:val="00351B07"/>
    <w:rsid w:val="00352C5B"/>
    <w:rsid w:val="0035308F"/>
    <w:rsid w:val="00354AC4"/>
    <w:rsid w:val="0035532C"/>
    <w:rsid w:val="00355517"/>
    <w:rsid w:val="0036205F"/>
    <w:rsid w:val="003620CC"/>
    <w:rsid w:val="0036533D"/>
    <w:rsid w:val="00365886"/>
    <w:rsid w:val="00366350"/>
    <w:rsid w:val="00371B29"/>
    <w:rsid w:val="00372B02"/>
    <w:rsid w:val="003766F8"/>
    <w:rsid w:val="00380106"/>
    <w:rsid w:val="003814F0"/>
    <w:rsid w:val="00381E07"/>
    <w:rsid w:val="00381FD4"/>
    <w:rsid w:val="003826AD"/>
    <w:rsid w:val="00385788"/>
    <w:rsid w:val="00385E0D"/>
    <w:rsid w:val="00386381"/>
    <w:rsid w:val="003910D5"/>
    <w:rsid w:val="0039170A"/>
    <w:rsid w:val="00391769"/>
    <w:rsid w:val="0039483F"/>
    <w:rsid w:val="003953E1"/>
    <w:rsid w:val="003956B3"/>
    <w:rsid w:val="00395DEF"/>
    <w:rsid w:val="00397F55"/>
    <w:rsid w:val="003A0A4D"/>
    <w:rsid w:val="003A1A22"/>
    <w:rsid w:val="003A249A"/>
    <w:rsid w:val="003A3D30"/>
    <w:rsid w:val="003A3ECA"/>
    <w:rsid w:val="003A55DD"/>
    <w:rsid w:val="003A68BE"/>
    <w:rsid w:val="003A7877"/>
    <w:rsid w:val="003A7B84"/>
    <w:rsid w:val="003A7F6A"/>
    <w:rsid w:val="003B07EE"/>
    <w:rsid w:val="003B0BB4"/>
    <w:rsid w:val="003B0C17"/>
    <w:rsid w:val="003C0ED1"/>
    <w:rsid w:val="003C21B1"/>
    <w:rsid w:val="003C3262"/>
    <w:rsid w:val="003C342B"/>
    <w:rsid w:val="003C398F"/>
    <w:rsid w:val="003C4969"/>
    <w:rsid w:val="003C4EB2"/>
    <w:rsid w:val="003D01F3"/>
    <w:rsid w:val="003D0C93"/>
    <w:rsid w:val="003D2624"/>
    <w:rsid w:val="003D2CDC"/>
    <w:rsid w:val="003D5B57"/>
    <w:rsid w:val="003D66B4"/>
    <w:rsid w:val="003D6CA2"/>
    <w:rsid w:val="003E1E82"/>
    <w:rsid w:val="003E41D5"/>
    <w:rsid w:val="003E46BA"/>
    <w:rsid w:val="003E4EEA"/>
    <w:rsid w:val="003E68CD"/>
    <w:rsid w:val="003F2560"/>
    <w:rsid w:val="003F541A"/>
    <w:rsid w:val="003F74C1"/>
    <w:rsid w:val="0040025E"/>
    <w:rsid w:val="00401ADE"/>
    <w:rsid w:val="00401ECC"/>
    <w:rsid w:val="00405B1A"/>
    <w:rsid w:val="004070A5"/>
    <w:rsid w:val="00410C76"/>
    <w:rsid w:val="00411907"/>
    <w:rsid w:val="0041209C"/>
    <w:rsid w:val="0041343F"/>
    <w:rsid w:val="00413CC9"/>
    <w:rsid w:val="00413FEF"/>
    <w:rsid w:val="00414569"/>
    <w:rsid w:val="00415FB1"/>
    <w:rsid w:val="00416FF4"/>
    <w:rsid w:val="00417EE3"/>
    <w:rsid w:val="00420625"/>
    <w:rsid w:val="004207EB"/>
    <w:rsid w:val="004208F5"/>
    <w:rsid w:val="00420EB5"/>
    <w:rsid w:val="00421730"/>
    <w:rsid w:val="00422C5E"/>
    <w:rsid w:val="00422EC9"/>
    <w:rsid w:val="00423AC7"/>
    <w:rsid w:val="00425000"/>
    <w:rsid w:val="004259CE"/>
    <w:rsid w:val="00426DF3"/>
    <w:rsid w:val="004275E9"/>
    <w:rsid w:val="00432A42"/>
    <w:rsid w:val="00433C56"/>
    <w:rsid w:val="004343B0"/>
    <w:rsid w:val="004352FA"/>
    <w:rsid w:val="0043643C"/>
    <w:rsid w:val="00437276"/>
    <w:rsid w:val="004427F9"/>
    <w:rsid w:val="00445360"/>
    <w:rsid w:val="00445E12"/>
    <w:rsid w:val="00446774"/>
    <w:rsid w:val="00450DC1"/>
    <w:rsid w:val="00451522"/>
    <w:rsid w:val="00453646"/>
    <w:rsid w:val="004553FE"/>
    <w:rsid w:val="00456B54"/>
    <w:rsid w:val="00456BD5"/>
    <w:rsid w:val="00464547"/>
    <w:rsid w:val="00464643"/>
    <w:rsid w:val="00470F89"/>
    <w:rsid w:val="004720A8"/>
    <w:rsid w:val="00473F38"/>
    <w:rsid w:val="00474502"/>
    <w:rsid w:val="00475A0B"/>
    <w:rsid w:val="004767C4"/>
    <w:rsid w:val="0047723D"/>
    <w:rsid w:val="00477A5C"/>
    <w:rsid w:val="00480D0D"/>
    <w:rsid w:val="00481F2E"/>
    <w:rsid w:val="004823DE"/>
    <w:rsid w:val="00482646"/>
    <w:rsid w:val="00485D4D"/>
    <w:rsid w:val="00486793"/>
    <w:rsid w:val="00486C66"/>
    <w:rsid w:val="00486C90"/>
    <w:rsid w:val="0048710D"/>
    <w:rsid w:val="00490BEA"/>
    <w:rsid w:val="00490F7E"/>
    <w:rsid w:val="00492EA1"/>
    <w:rsid w:val="0049441B"/>
    <w:rsid w:val="00494A3F"/>
    <w:rsid w:val="00495E6B"/>
    <w:rsid w:val="00496435"/>
    <w:rsid w:val="00497473"/>
    <w:rsid w:val="004977CC"/>
    <w:rsid w:val="00497A34"/>
    <w:rsid w:val="004A2037"/>
    <w:rsid w:val="004A48C9"/>
    <w:rsid w:val="004A5484"/>
    <w:rsid w:val="004A6EED"/>
    <w:rsid w:val="004A793C"/>
    <w:rsid w:val="004B029A"/>
    <w:rsid w:val="004B047B"/>
    <w:rsid w:val="004B1F6F"/>
    <w:rsid w:val="004B4477"/>
    <w:rsid w:val="004B4CDC"/>
    <w:rsid w:val="004B799E"/>
    <w:rsid w:val="004B7BB0"/>
    <w:rsid w:val="004C1E43"/>
    <w:rsid w:val="004C65AF"/>
    <w:rsid w:val="004D07C6"/>
    <w:rsid w:val="004D121E"/>
    <w:rsid w:val="004D1B1C"/>
    <w:rsid w:val="004D4583"/>
    <w:rsid w:val="004D45AE"/>
    <w:rsid w:val="004D7560"/>
    <w:rsid w:val="004E06A2"/>
    <w:rsid w:val="004E2BC6"/>
    <w:rsid w:val="004E5915"/>
    <w:rsid w:val="004E5A66"/>
    <w:rsid w:val="004E5ABC"/>
    <w:rsid w:val="004E5B67"/>
    <w:rsid w:val="004E605A"/>
    <w:rsid w:val="004E635E"/>
    <w:rsid w:val="004E7135"/>
    <w:rsid w:val="004E7F22"/>
    <w:rsid w:val="004F0C78"/>
    <w:rsid w:val="004F4F98"/>
    <w:rsid w:val="004F51B4"/>
    <w:rsid w:val="004F69F6"/>
    <w:rsid w:val="004F6B03"/>
    <w:rsid w:val="004F742E"/>
    <w:rsid w:val="004F79AC"/>
    <w:rsid w:val="00500CDC"/>
    <w:rsid w:val="0050318B"/>
    <w:rsid w:val="005055B4"/>
    <w:rsid w:val="005066B3"/>
    <w:rsid w:val="00506E9B"/>
    <w:rsid w:val="005100C6"/>
    <w:rsid w:val="0051138F"/>
    <w:rsid w:val="005124AF"/>
    <w:rsid w:val="005158A9"/>
    <w:rsid w:val="00516EAD"/>
    <w:rsid w:val="005172B4"/>
    <w:rsid w:val="0052000E"/>
    <w:rsid w:val="005207D8"/>
    <w:rsid w:val="00523779"/>
    <w:rsid w:val="00523930"/>
    <w:rsid w:val="005244F1"/>
    <w:rsid w:val="0052684E"/>
    <w:rsid w:val="00532883"/>
    <w:rsid w:val="00532BF5"/>
    <w:rsid w:val="00534D4D"/>
    <w:rsid w:val="00536931"/>
    <w:rsid w:val="00537282"/>
    <w:rsid w:val="005373B3"/>
    <w:rsid w:val="00537CDC"/>
    <w:rsid w:val="00545703"/>
    <w:rsid w:val="00546CFD"/>
    <w:rsid w:val="00553F23"/>
    <w:rsid w:val="00554D1C"/>
    <w:rsid w:val="0055612A"/>
    <w:rsid w:val="00557D0A"/>
    <w:rsid w:val="00560185"/>
    <w:rsid w:val="005603A0"/>
    <w:rsid w:val="00561D9F"/>
    <w:rsid w:val="00562917"/>
    <w:rsid w:val="00563C7A"/>
    <w:rsid w:val="00564C37"/>
    <w:rsid w:val="00565493"/>
    <w:rsid w:val="00567D4F"/>
    <w:rsid w:val="0057083A"/>
    <w:rsid w:val="00570A08"/>
    <w:rsid w:val="00571B8C"/>
    <w:rsid w:val="00571FD0"/>
    <w:rsid w:val="00573CB6"/>
    <w:rsid w:val="00576527"/>
    <w:rsid w:val="00576E4A"/>
    <w:rsid w:val="005802B2"/>
    <w:rsid w:val="0058039F"/>
    <w:rsid w:val="00580DDF"/>
    <w:rsid w:val="005811B7"/>
    <w:rsid w:val="00583EAF"/>
    <w:rsid w:val="00584346"/>
    <w:rsid w:val="00586228"/>
    <w:rsid w:val="00586523"/>
    <w:rsid w:val="005874FA"/>
    <w:rsid w:val="0059448B"/>
    <w:rsid w:val="005946D3"/>
    <w:rsid w:val="005957F6"/>
    <w:rsid w:val="00595DE6"/>
    <w:rsid w:val="00597631"/>
    <w:rsid w:val="005A0EAF"/>
    <w:rsid w:val="005A10C4"/>
    <w:rsid w:val="005A14AC"/>
    <w:rsid w:val="005A45FA"/>
    <w:rsid w:val="005A563D"/>
    <w:rsid w:val="005A572E"/>
    <w:rsid w:val="005A5805"/>
    <w:rsid w:val="005A7929"/>
    <w:rsid w:val="005B084E"/>
    <w:rsid w:val="005B0B7B"/>
    <w:rsid w:val="005B3E45"/>
    <w:rsid w:val="005B5B13"/>
    <w:rsid w:val="005B6AF4"/>
    <w:rsid w:val="005B7B34"/>
    <w:rsid w:val="005C04CB"/>
    <w:rsid w:val="005C081B"/>
    <w:rsid w:val="005C40F2"/>
    <w:rsid w:val="005C4EE7"/>
    <w:rsid w:val="005C5AFB"/>
    <w:rsid w:val="005C5BCB"/>
    <w:rsid w:val="005D0A5C"/>
    <w:rsid w:val="005D1327"/>
    <w:rsid w:val="005D1408"/>
    <w:rsid w:val="005D16AD"/>
    <w:rsid w:val="005D2016"/>
    <w:rsid w:val="005D388C"/>
    <w:rsid w:val="005D3FC2"/>
    <w:rsid w:val="005D45DD"/>
    <w:rsid w:val="005D5673"/>
    <w:rsid w:val="005D72E1"/>
    <w:rsid w:val="005E06C0"/>
    <w:rsid w:val="005E248F"/>
    <w:rsid w:val="005E58D3"/>
    <w:rsid w:val="005E5E48"/>
    <w:rsid w:val="005E6E16"/>
    <w:rsid w:val="005F0755"/>
    <w:rsid w:val="005F3F82"/>
    <w:rsid w:val="005F400E"/>
    <w:rsid w:val="005F525D"/>
    <w:rsid w:val="005F53AE"/>
    <w:rsid w:val="005F5A72"/>
    <w:rsid w:val="005F6D29"/>
    <w:rsid w:val="005F7342"/>
    <w:rsid w:val="006044FC"/>
    <w:rsid w:val="00604FD3"/>
    <w:rsid w:val="00607253"/>
    <w:rsid w:val="006100A6"/>
    <w:rsid w:val="00610A3C"/>
    <w:rsid w:val="00610DC2"/>
    <w:rsid w:val="00610DFB"/>
    <w:rsid w:val="006120CE"/>
    <w:rsid w:val="00613003"/>
    <w:rsid w:val="006138D7"/>
    <w:rsid w:val="00613FCD"/>
    <w:rsid w:val="00614E7D"/>
    <w:rsid w:val="006153D3"/>
    <w:rsid w:val="00615E83"/>
    <w:rsid w:val="00616017"/>
    <w:rsid w:val="006166BC"/>
    <w:rsid w:val="0062016D"/>
    <w:rsid w:val="0062085C"/>
    <w:rsid w:val="00621403"/>
    <w:rsid w:val="00623217"/>
    <w:rsid w:val="00624EB3"/>
    <w:rsid w:val="00626D45"/>
    <w:rsid w:val="00627F48"/>
    <w:rsid w:val="00630023"/>
    <w:rsid w:val="00633254"/>
    <w:rsid w:val="006342E6"/>
    <w:rsid w:val="0063455F"/>
    <w:rsid w:val="0063543B"/>
    <w:rsid w:val="00635814"/>
    <w:rsid w:val="00635BC2"/>
    <w:rsid w:val="006377F7"/>
    <w:rsid w:val="00640D29"/>
    <w:rsid w:val="00641344"/>
    <w:rsid w:val="0064223C"/>
    <w:rsid w:val="006455B5"/>
    <w:rsid w:val="00646BFD"/>
    <w:rsid w:val="00646DB4"/>
    <w:rsid w:val="0064716F"/>
    <w:rsid w:val="00651D0C"/>
    <w:rsid w:val="006546FA"/>
    <w:rsid w:val="00656973"/>
    <w:rsid w:val="00662916"/>
    <w:rsid w:val="00663FCF"/>
    <w:rsid w:val="006652A2"/>
    <w:rsid w:val="00666155"/>
    <w:rsid w:val="00666CFF"/>
    <w:rsid w:val="00674632"/>
    <w:rsid w:val="00676C7D"/>
    <w:rsid w:val="00680AEF"/>
    <w:rsid w:val="00680D88"/>
    <w:rsid w:val="00681263"/>
    <w:rsid w:val="00681A73"/>
    <w:rsid w:val="00681F6D"/>
    <w:rsid w:val="00683071"/>
    <w:rsid w:val="006843E2"/>
    <w:rsid w:val="00684C9D"/>
    <w:rsid w:val="00686BD5"/>
    <w:rsid w:val="00686D47"/>
    <w:rsid w:val="0069198F"/>
    <w:rsid w:val="00691EB4"/>
    <w:rsid w:val="00692490"/>
    <w:rsid w:val="006932F7"/>
    <w:rsid w:val="0069404C"/>
    <w:rsid w:val="00694476"/>
    <w:rsid w:val="00695A65"/>
    <w:rsid w:val="00695FB4"/>
    <w:rsid w:val="006969CC"/>
    <w:rsid w:val="00696A15"/>
    <w:rsid w:val="00696ACC"/>
    <w:rsid w:val="006A0C18"/>
    <w:rsid w:val="006A3187"/>
    <w:rsid w:val="006A48A7"/>
    <w:rsid w:val="006A4DA0"/>
    <w:rsid w:val="006A523F"/>
    <w:rsid w:val="006A5D40"/>
    <w:rsid w:val="006A5D53"/>
    <w:rsid w:val="006B0237"/>
    <w:rsid w:val="006B100B"/>
    <w:rsid w:val="006B19E3"/>
    <w:rsid w:val="006B2A57"/>
    <w:rsid w:val="006B2F4C"/>
    <w:rsid w:val="006B4307"/>
    <w:rsid w:val="006B4473"/>
    <w:rsid w:val="006C116D"/>
    <w:rsid w:val="006C22A7"/>
    <w:rsid w:val="006C5CF5"/>
    <w:rsid w:val="006C6B1C"/>
    <w:rsid w:val="006D0423"/>
    <w:rsid w:val="006D0A5B"/>
    <w:rsid w:val="006D33FF"/>
    <w:rsid w:val="006D3554"/>
    <w:rsid w:val="006D5575"/>
    <w:rsid w:val="006D6A6B"/>
    <w:rsid w:val="006E000B"/>
    <w:rsid w:val="006E10A1"/>
    <w:rsid w:val="006E1544"/>
    <w:rsid w:val="006E2412"/>
    <w:rsid w:val="006E2592"/>
    <w:rsid w:val="006E4A72"/>
    <w:rsid w:val="006F06F6"/>
    <w:rsid w:val="006F08E5"/>
    <w:rsid w:val="006F0FC0"/>
    <w:rsid w:val="006F10BA"/>
    <w:rsid w:val="006F2050"/>
    <w:rsid w:val="006F4A82"/>
    <w:rsid w:val="006F60C8"/>
    <w:rsid w:val="007009E1"/>
    <w:rsid w:val="007040C5"/>
    <w:rsid w:val="007042C0"/>
    <w:rsid w:val="0070463A"/>
    <w:rsid w:val="00704AAD"/>
    <w:rsid w:val="007054AE"/>
    <w:rsid w:val="00710C37"/>
    <w:rsid w:val="00710F45"/>
    <w:rsid w:val="00712AF0"/>
    <w:rsid w:val="00715F1D"/>
    <w:rsid w:val="007203A0"/>
    <w:rsid w:val="00722335"/>
    <w:rsid w:val="007223EC"/>
    <w:rsid w:val="00724BD1"/>
    <w:rsid w:val="00724FA4"/>
    <w:rsid w:val="00725169"/>
    <w:rsid w:val="007269F2"/>
    <w:rsid w:val="007277B4"/>
    <w:rsid w:val="00730133"/>
    <w:rsid w:val="00730800"/>
    <w:rsid w:val="0073462E"/>
    <w:rsid w:val="00734BCF"/>
    <w:rsid w:val="00734D3B"/>
    <w:rsid w:val="00734F96"/>
    <w:rsid w:val="00737837"/>
    <w:rsid w:val="00740C63"/>
    <w:rsid w:val="007446C5"/>
    <w:rsid w:val="00744A66"/>
    <w:rsid w:val="00746D80"/>
    <w:rsid w:val="007503D6"/>
    <w:rsid w:val="0075072C"/>
    <w:rsid w:val="0075295F"/>
    <w:rsid w:val="00755F02"/>
    <w:rsid w:val="007602AA"/>
    <w:rsid w:val="00760463"/>
    <w:rsid w:val="0076108B"/>
    <w:rsid w:val="00761715"/>
    <w:rsid w:val="007634DD"/>
    <w:rsid w:val="007642F0"/>
    <w:rsid w:val="007652EF"/>
    <w:rsid w:val="00765DE1"/>
    <w:rsid w:val="00765EFC"/>
    <w:rsid w:val="007664AB"/>
    <w:rsid w:val="00766A65"/>
    <w:rsid w:val="0076717D"/>
    <w:rsid w:val="00767CA3"/>
    <w:rsid w:val="00772BDC"/>
    <w:rsid w:val="00772CB3"/>
    <w:rsid w:val="007748A8"/>
    <w:rsid w:val="00776135"/>
    <w:rsid w:val="0077641B"/>
    <w:rsid w:val="00777437"/>
    <w:rsid w:val="007776B4"/>
    <w:rsid w:val="00780792"/>
    <w:rsid w:val="00780DB1"/>
    <w:rsid w:val="00782DA5"/>
    <w:rsid w:val="0078309E"/>
    <w:rsid w:val="00784B7D"/>
    <w:rsid w:val="00785170"/>
    <w:rsid w:val="00786EC8"/>
    <w:rsid w:val="00790A83"/>
    <w:rsid w:val="007948F0"/>
    <w:rsid w:val="00795D86"/>
    <w:rsid w:val="00795E8D"/>
    <w:rsid w:val="007960DA"/>
    <w:rsid w:val="00797752"/>
    <w:rsid w:val="007A02A9"/>
    <w:rsid w:val="007A2AB2"/>
    <w:rsid w:val="007A44B4"/>
    <w:rsid w:val="007A50C5"/>
    <w:rsid w:val="007A53BF"/>
    <w:rsid w:val="007A6E83"/>
    <w:rsid w:val="007A7D08"/>
    <w:rsid w:val="007A7D3D"/>
    <w:rsid w:val="007B225D"/>
    <w:rsid w:val="007B37B3"/>
    <w:rsid w:val="007B4B2B"/>
    <w:rsid w:val="007B6B7E"/>
    <w:rsid w:val="007B726A"/>
    <w:rsid w:val="007B7994"/>
    <w:rsid w:val="007C0EA5"/>
    <w:rsid w:val="007C176C"/>
    <w:rsid w:val="007C1C64"/>
    <w:rsid w:val="007C22CB"/>
    <w:rsid w:val="007C387F"/>
    <w:rsid w:val="007C38FC"/>
    <w:rsid w:val="007C392D"/>
    <w:rsid w:val="007C7AD1"/>
    <w:rsid w:val="007C7D5E"/>
    <w:rsid w:val="007C7E29"/>
    <w:rsid w:val="007D0189"/>
    <w:rsid w:val="007D04D7"/>
    <w:rsid w:val="007D05E2"/>
    <w:rsid w:val="007D3634"/>
    <w:rsid w:val="007D51D4"/>
    <w:rsid w:val="007D6B90"/>
    <w:rsid w:val="007D7283"/>
    <w:rsid w:val="007D7C97"/>
    <w:rsid w:val="007E226A"/>
    <w:rsid w:val="007E230D"/>
    <w:rsid w:val="007E26D8"/>
    <w:rsid w:val="007E278B"/>
    <w:rsid w:val="007E2E4B"/>
    <w:rsid w:val="007E3D2D"/>
    <w:rsid w:val="007E48BC"/>
    <w:rsid w:val="007E5932"/>
    <w:rsid w:val="007E5DC1"/>
    <w:rsid w:val="007E6DD5"/>
    <w:rsid w:val="007E6ED5"/>
    <w:rsid w:val="007E79F7"/>
    <w:rsid w:val="007F05E9"/>
    <w:rsid w:val="007F11F6"/>
    <w:rsid w:val="007F19E9"/>
    <w:rsid w:val="007F3630"/>
    <w:rsid w:val="007F40E4"/>
    <w:rsid w:val="007F6D1B"/>
    <w:rsid w:val="007F788E"/>
    <w:rsid w:val="007F7BF7"/>
    <w:rsid w:val="00800F16"/>
    <w:rsid w:val="00805E88"/>
    <w:rsid w:val="0080668C"/>
    <w:rsid w:val="00806E8B"/>
    <w:rsid w:val="00807559"/>
    <w:rsid w:val="00811038"/>
    <w:rsid w:val="00811978"/>
    <w:rsid w:val="00811CA0"/>
    <w:rsid w:val="008121B2"/>
    <w:rsid w:val="00812C7F"/>
    <w:rsid w:val="00813464"/>
    <w:rsid w:val="00814125"/>
    <w:rsid w:val="008252C7"/>
    <w:rsid w:val="008258AB"/>
    <w:rsid w:val="00825B00"/>
    <w:rsid w:val="00830BA8"/>
    <w:rsid w:val="00830FFA"/>
    <w:rsid w:val="00831154"/>
    <w:rsid w:val="00832D4E"/>
    <w:rsid w:val="00833013"/>
    <w:rsid w:val="00835D3E"/>
    <w:rsid w:val="00840DD2"/>
    <w:rsid w:val="00842392"/>
    <w:rsid w:val="00844802"/>
    <w:rsid w:val="008450BC"/>
    <w:rsid w:val="00845489"/>
    <w:rsid w:val="0084604C"/>
    <w:rsid w:val="00846810"/>
    <w:rsid w:val="00847066"/>
    <w:rsid w:val="00850B09"/>
    <w:rsid w:val="008510EE"/>
    <w:rsid w:val="00852BC2"/>
    <w:rsid w:val="00852F34"/>
    <w:rsid w:val="00853112"/>
    <w:rsid w:val="0085334B"/>
    <w:rsid w:val="008537BA"/>
    <w:rsid w:val="008539FF"/>
    <w:rsid w:val="0085513B"/>
    <w:rsid w:val="00855ACA"/>
    <w:rsid w:val="00856677"/>
    <w:rsid w:val="00856712"/>
    <w:rsid w:val="0085738F"/>
    <w:rsid w:val="00860259"/>
    <w:rsid w:val="00860808"/>
    <w:rsid w:val="00861482"/>
    <w:rsid w:val="00861C13"/>
    <w:rsid w:val="00862349"/>
    <w:rsid w:val="00862741"/>
    <w:rsid w:val="0086571E"/>
    <w:rsid w:val="00870214"/>
    <w:rsid w:val="00870D9F"/>
    <w:rsid w:val="00871116"/>
    <w:rsid w:val="00872CF0"/>
    <w:rsid w:val="008734AB"/>
    <w:rsid w:val="00874EC9"/>
    <w:rsid w:val="008766B0"/>
    <w:rsid w:val="0087696F"/>
    <w:rsid w:val="00876EE0"/>
    <w:rsid w:val="00880B28"/>
    <w:rsid w:val="00880CB6"/>
    <w:rsid w:val="00884535"/>
    <w:rsid w:val="00885C51"/>
    <w:rsid w:val="00893113"/>
    <w:rsid w:val="008931E2"/>
    <w:rsid w:val="00893224"/>
    <w:rsid w:val="00893772"/>
    <w:rsid w:val="0089573C"/>
    <w:rsid w:val="00896B85"/>
    <w:rsid w:val="008A21F2"/>
    <w:rsid w:val="008A235B"/>
    <w:rsid w:val="008A243D"/>
    <w:rsid w:val="008A4734"/>
    <w:rsid w:val="008A4A61"/>
    <w:rsid w:val="008A6921"/>
    <w:rsid w:val="008A6D9A"/>
    <w:rsid w:val="008A7A4E"/>
    <w:rsid w:val="008B090E"/>
    <w:rsid w:val="008B1026"/>
    <w:rsid w:val="008B3E27"/>
    <w:rsid w:val="008B5CAF"/>
    <w:rsid w:val="008B617D"/>
    <w:rsid w:val="008B73BE"/>
    <w:rsid w:val="008C2330"/>
    <w:rsid w:val="008C38B8"/>
    <w:rsid w:val="008C4E76"/>
    <w:rsid w:val="008C755D"/>
    <w:rsid w:val="008C78AA"/>
    <w:rsid w:val="008C7E5F"/>
    <w:rsid w:val="008D06C6"/>
    <w:rsid w:val="008D1C93"/>
    <w:rsid w:val="008D2C3A"/>
    <w:rsid w:val="008D4CBD"/>
    <w:rsid w:val="008D5E9D"/>
    <w:rsid w:val="008D6182"/>
    <w:rsid w:val="008D6AAF"/>
    <w:rsid w:val="008D7032"/>
    <w:rsid w:val="008E08A6"/>
    <w:rsid w:val="008E607F"/>
    <w:rsid w:val="008E6250"/>
    <w:rsid w:val="008E63DE"/>
    <w:rsid w:val="008F0E1F"/>
    <w:rsid w:val="008F34C0"/>
    <w:rsid w:val="008F3A54"/>
    <w:rsid w:val="008F40FE"/>
    <w:rsid w:val="008F4F6E"/>
    <w:rsid w:val="008F56BD"/>
    <w:rsid w:val="008F5BFC"/>
    <w:rsid w:val="009019CE"/>
    <w:rsid w:val="00905065"/>
    <w:rsid w:val="009062B4"/>
    <w:rsid w:val="0090663E"/>
    <w:rsid w:val="00910483"/>
    <w:rsid w:val="00910C25"/>
    <w:rsid w:val="0091264F"/>
    <w:rsid w:val="00913165"/>
    <w:rsid w:val="00914693"/>
    <w:rsid w:val="00915DBB"/>
    <w:rsid w:val="00916C59"/>
    <w:rsid w:val="00917C6F"/>
    <w:rsid w:val="00920249"/>
    <w:rsid w:val="00921427"/>
    <w:rsid w:val="009217A0"/>
    <w:rsid w:val="00921FD5"/>
    <w:rsid w:val="0092588C"/>
    <w:rsid w:val="009261F7"/>
    <w:rsid w:val="00930494"/>
    <w:rsid w:val="0093063A"/>
    <w:rsid w:val="00931EA8"/>
    <w:rsid w:val="009320E7"/>
    <w:rsid w:val="00932CD8"/>
    <w:rsid w:val="00932F14"/>
    <w:rsid w:val="00935734"/>
    <w:rsid w:val="00936404"/>
    <w:rsid w:val="00936C59"/>
    <w:rsid w:val="0094203B"/>
    <w:rsid w:val="0094247F"/>
    <w:rsid w:val="00942D60"/>
    <w:rsid w:val="0094358A"/>
    <w:rsid w:val="0094519B"/>
    <w:rsid w:val="009460FA"/>
    <w:rsid w:val="009462B6"/>
    <w:rsid w:val="00947534"/>
    <w:rsid w:val="009478A1"/>
    <w:rsid w:val="009501E3"/>
    <w:rsid w:val="00952B20"/>
    <w:rsid w:val="00953571"/>
    <w:rsid w:val="00960937"/>
    <w:rsid w:val="00961F44"/>
    <w:rsid w:val="00962A17"/>
    <w:rsid w:val="0096380E"/>
    <w:rsid w:val="0096523B"/>
    <w:rsid w:val="00965350"/>
    <w:rsid w:val="009666E4"/>
    <w:rsid w:val="00971BFE"/>
    <w:rsid w:val="00972D06"/>
    <w:rsid w:val="00973B30"/>
    <w:rsid w:val="009751B3"/>
    <w:rsid w:val="00975F11"/>
    <w:rsid w:val="0098244D"/>
    <w:rsid w:val="009831B9"/>
    <w:rsid w:val="00986188"/>
    <w:rsid w:val="0098651D"/>
    <w:rsid w:val="009900AF"/>
    <w:rsid w:val="009903C4"/>
    <w:rsid w:val="0099068D"/>
    <w:rsid w:val="009919A8"/>
    <w:rsid w:val="0099323D"/>
    <w:rsid w:val="009936ED"/>
    <w:rsid w:val="00993F49"/>
    <w:rsid w:val="00994019"/>
    <w:rsid w:val="009952F8"/>
    <w:rsid w:val="0099623A"/>
    <w:rsid w:val="009A2699"/>
    <w:rsid w:val="009A2DC9"/>
    <w:rsid w:val="009A391C"/>
    <w:rsid w:val="009A3D84"/>
    <w:rsid w:val="009A42E9"/>
    <w:rsid w:val="009A5A2C"/>
    <w:rsid w:val="009A5F7B"/>
    <w:rsid w:val="009A6AB0"/>
    <w:rsid w:val="009B1223"/>
    <w:rsid w:val="009B1266"/>
    <w:rsid w:val="009B1ADD"/>
    <w:rsid w:val="009B4266"/>
    <w:rsid w:val="009B6610"/>
    <w:rsid w:val="009C1735"/>
    <w:rsid w:val="009C228C"/>
    <w:rsid w:val="009C2C09"/>
    <w:rsid w:val="009C77C1"/>
    <w:rsid w:val="009D1FD5"/>
    <w:rsid w:val="009D3802"/>
    <w:rsid w:val="009D3820"/>
    <w:rsid w:val="009D5E36"/>
    <w:rsid w:val="009E0A61"/>
    <w:rsid w:val="009E12C7"/>
    <w:rsid w:val="009E2A20"/>
    <w:rsid w:val="009E2AE0"/>
    <w:rsid w:val="009E3010"/>
    <w:rsid w:val="009E3E40"/>
    <w:rsid w:val="009E46F5"/>
    <w:rsid w:val="009E50AE"/>
    <w:rsid w:val="009E5873"/>
    <w:rsid w:val="009E7300"/>
    <w:rsid w:val="009E7732"/>
    <w:rsid w:val="009F23FB"/>
    <w:rsid w:val="009F2475"/>
    <w:rsid w:val="009F2617"/>
    <w:rsid w:val="009F302A"/>
    <w:rsid w:val="009F462E"/>
    <w:rsid w:val="009F4B28"/>
    <w:rsid w:val="009F577E"/>
    <w:rsid w:val="009F58BE"/>
    <w:rsid w:val="009F7065"/>
    <w:rsid w:val="009F7BDA"/>
    <w:rsid w:val="00A01347"/>
    <w:rsid w:val="00A024E5"/>
    <w:rsid w:val="00A03BFB"/>
    <w:rsid w:val="00A05B6B"/>
    <w:rsid w:val="00A0675D"/>
    <w:rsid w:val="00A10D23"/>
    <w:rsid w:val="00A113A9"/>
    <w:rsid w:val="00A130B9"/>
    <w:rsid w:val="00A141DA"/>
    <w:rsid w:val="00A1447F"/>
    <w:rsid w:val="00A1527C"/>
    <w:rsid w:val="00A205F5"/>
    <w:rsid w:val="00A23ADB"/>
    <w:rsid w:val="00A23C85"/>
    <w:rsid w:val="00A2449C"/>
    <w:rsid w:val="00A30693"/>
    <w:rsid w:val="00A3112E"/>
    <w:rsid w:val="00A31834"/>
    <w:rsid w:val="00A318EB"/>
    <w:rsid w:val="00A31973"/>
    <w:rsid w:val="00A32E59"/>
    <w:rsid w:val="00A36D73"/>
    <w:rsid w:val="00A37185"/>
    <w:rsid w:val="00A413BA"/>
    <w:rsid w:val="00A42736"/>
    <w:rsid w:val="00A42AAF"/>
    <w:rsid w:val="00A42B26"/>
    <w:rsid w:val="00A43DD1"/>
    <w:rsid w:val="00A445F4"/>
    <w:rsid w:val="00A44BBF"/>
    <w:rsid w:val="00A460C9"/>
    <w:rsid w:val="00A46630"/>
    <w:rsid w:val="00A4695E"/>
    <w:rsid w:val="00A50A70"/>
    <w:rsid w:val="00A51F62"/>
    <w:rsid w:val="00A5356A"/>
    <w:rsid w:val="00A546C3"/>
    <w:rsid w:val="00A54727"/>
    <w:rsid w:val="00A54928"/>
    <w:rsid w:val="00A551B9"/>
    <w:rsid w:val="00A559E8"/>
    <w:rsid w:val="00A56DC7"/>
    <w:rsid w:val="00A611CC"/>
    <w:rsid w:val="00A647E7"/>
    <w:rsid w:val="00A65F15"/>
    <w:rsid w:val="00A66FDD"/>
    <w:rsid w:val="00A671E6"/>
    <w:rsid w:val="00A67464"/>
    <w:rsid w:val="00A67B9C"/>
    <w:rsid w:val="00A67F69"/>
    <w:rsid w:val="00A703C4"/>
    <w:rsid w:val="00A70419"/>
    <w:rsid w:val="00A709E5"/>
    <w:rsid w:val="00A718A4"/>
    <w:rsid w:val="00A71A6A"/>
    <w:rsid w:val="00A74FD1"/>
    <w:rsid w:val="00A7692A"/>
    <w:rsid w:val="00A7697E"/>
    <w:rsid w:val="00A77429"/>
    <w:rsid w:val="00A77E7A"/>
    <w:rsid w:val="00A80814"/>
    <w:rsid w:val="00A8325C"/>
    <w:rsid w:val="00A84A58"/>
    <w:rsid w:val="00A85DE5"/>
    <w:rsid w:val="00A85F9D"/>
    <w:rsid w:val="00A8687B"/>
    <w:rsid w:val="00A87691"/>
    <w:rsid w:val="00A91389"/>
    <w:rsid w:val="00A929A9"/>
    <w:rsid w:val="00A930AD"/>
    <w:rsid w:val="00A9651D"/>
    <w:rsid w:val="00A96594"/>
    <w:rsid w:val="00A96D0E"/>
    <w:rsid w:val="00A97846"/>
    <w:rsid w:val="00A979C3"/>
    <w:rsid w:val="00AA11B4"/>
    <w:rsid w:val="00AA41BA"/>
    <w:rsid w:val="00AA6C65"/>
    <w:rsid w:val="00AA6D0D"/>
    <w:rsid w:val="00AA6FA3"/>
    <w:rsid w:val="00AB015E"/>
    <w:rsid w:val="00AB67D3"/>
    <w:rsid w:val="00AB70B1"/>
    <w:rsid w:val="00AC1285"/>
    <w:rsid w:val="00AC1E95"/>
    <w:rsid w:val="00AC1F48"/>
    <w:rsid w:val="00AC2E76"/>
    <w:rsid w:val="00AC2ED5"/>
    <w:rsid w:val="00AC3652"/>
    <w:rsid w:val="00AC422C"/>
    <w:rsid w:val="00AC428E"/>
    <w:rsid w:val="00AC4D80"/>
    <w:rsid w:val="00AC4DCB"/>
    <w:rsid w:val="00AC61BE"/>
    <w:rsid w:val="00AC6EC1"/>
    <w:rsid w:val="00AD0541"/>
    <w:rsid w:val="00AD344F"/>
    <w:rsid w:val="00AE0E2B"/>
    <w:rsid w:val="00AE39DF"/>
    <w:rsid w:val="00AE3A89"/>
    <w:rsid w:val="00AE3DFA"/>
    <w:rsid w:val="00AE4FFD"/>
    <w:rsid w:val="00AF10F6"/>
    <w:rsid w:val="00AF24FA"/>
    <w:rsid w:val="00AF2598"/>
    <w:rsid w:val="00AF299F"/>
    <w:rsid w:val="00AF387F"/>
    <w:rsid w:val="00AF38B0"/>
    <w:rsid w:val="00AF397D"/>
    <w:rsid w:val="00AF57AE"/>
    <w:rsid w:val="00AF60DE"/>
    <w:rsid w:val="00AF6BF4"/>
    <w:rsid w:val="00AF7374"/>
    <w:rsid w:val="00AF74F1"/>
    <w:rsid w:val="00B006F5"/>
    <w:rsid w:val="00B00E7F"/>
    <w:rsid w:val="00B01014"/>
    <w:rsid w:val="00B0172F"/>
    <w:rsid w:val="00B035F6"/>
    <w:rsid w:val="00B15A52"/>
    <w:rsid w:val="00B17112"/>
    <w:rsid w:val="00B17E85"/>
    <w:rsid w:val="00B2089A"/>
    <w:rsid w:val="00B21055"/>
    <w:rsid w:val="00B21DCC"/>
    <w:rsid w:val="00B25EA4"/>
    <w:rsid w:val="00B25F37"/>
    <w:rsid w:val="00B26F25"/>
    <w:rsid w:val="00B32BD4"/>
    <w:rsid w:val="00B3455A"/>
    <w:rsid w:val="00B36887"/>
    <w:rsid w:val="00B37158"/>
    <w:rsid w:val="00B37329"/>
    <w:rsid w:val="00B37744"/>
    <w:rsid w:val="00B425AA"/>
    <w:rsid w:val="00B443C2"/>
    <w:rsid w:val="00B44422"/>
    <w:rsid w:val="00B44BE8"/>
    <w:rsid w:val="00B44F64"/>
    <w:rsid w:val="00B46DEE"/>
    <w:rsid w:val="00B46EA0"/>
    <w:rsid w:val="00B4745F"/>
    <w:rsid w:val="00B4748E"/>
    <w:rsid w:val="00B50374"/>
    <w:rsid w:val="00B50AA7"/>
    <w:rsid w:val="00B50B00"/>
    <w:rsid w:val="00B52BEB"/>
    <w:rsid w:val="00B55714"/>
    <w:rsid w:val="00B56ECD"/>
    <w:rsid w:val="00B63BBA"/>
    <w:rsid w:val="00B671A2"/>
    <w:rsid w:val="00B674B9"/>
    <w:rsid w:val="00B67C7A"/>
    <w:rsid w:val="00B7094D"/>
    <w:rsid w:val="00B72306"/>
    <w:rsid w:val="00B731D3"/>
    <w:rsid w:val="00B757EE"/>
    <w:rsid w:val="00B75B57"/>
    <w:rsid w:val="00B77C18"/>
    <w:rsid w:val="00B802AC"/>
    <w:rsid w:val="00B811B3"/>
    <w:rsid w:val="00B825B8"/>
    <w:rsid w:val="00B82826"/>
    <w:rsid w:val="00B839A3"/>
    <w:rsid w:val="00B8771E"/>
    <w:rsid w:val="00B877F6"/>
    <w:rsid w:val="00B902BD"/>
    <w:rsid w:val="00B9210F"/>
    <w:rsid w:val="00B92501"/>
    <w:rsid w:val="00B9361D"/>
    <w:rsid w:val="00B93C7F"/>
    <w:rsid w:val="00B96CF4"/>
    <w:rsid w:val="00B97010"/>
    <w:rsid w:val="00B975CF"/>
    <w:rsid w:val="00BA1009"/>
    <w:rsid w:val="00BA16B7"/>
    <w:rsid w:val="00BA191E"/>
    <w:rsid w:val="00BA3A1F"/>
    <w:rsid w:val="00BA6FBD"/>
    <w:rsid w:val="00BB0EC9"/>
    <w:rsid w:val="00BB2C03"/>
    <w:rsid w:val="00BB3D07"/>
    <w:rsid w:val="00BB634D"/>
    <w:rsid w:val="00BB772D"/>
    <w:rsid w:val="00BC08E0"/>
    <w:rsid w:val="00BC14BB"/>
    <w:rsid w:val="00BC18E2"/>
    <w:rsid w:val="00BC6634"/>
    <w:rsid w:val="00BC6D1B"/>
    <w:rsid w:val="00BD05E1"/>
    <w:rsid w:val="00BD117E"/>
    <w:rsid w:val="00BD1357"/>
    <w:rsid w:val="00BD2A39"/>
    <w:rsid w:val="00BD2E80"/>
    <w:rsid w:val="00BD49FF"/>
    <w:rsid w:val="00BD4ADA"/>
    <w:rsid w:val="00BD4B64"/>
    <w:rsid w:val="00BD7163"/>
    <w:rsid w:val="00BD77E1"/>
    <w:rsid w:val="00BE0464"/>
    <w:rsid w:val="00BE11B8"/>
    <w:rsid w:val="00BE2336"/>
    <w:rsid w:val="00BF03AA"/>
    <w:rsid w:val="00BF263D"/>
    <w:rsid w:val="00BF45A3"/>
    <w:rsid w:val="00BF6386"/>
    <w:rsid w:val="00BF7F09"/>
    <w:rsid w:val="00BF7FF0"/>
    <w:rsid w:val="00C00A4E"/>
    <w:rsid w:val="00C07921"/>
    <w:rsid w:val="00C10703"/>
    <w:rsid w:val="00C11AEA"/>
    <w:rsid w:val="00C11B48"/>
    <w:rsid w:val="00C11E58"/>
    <w:rsid w:val="00C12502"/>
    <w:rsid w:val="00C12588"/>
    <w:rsid w:val="00C13DBF"/>
    <w:rsid w:val="00C14023"/>
    <w:rsid w:val="00C14249"/>
    <w:rsid w:val="00C15BF3"/>
    <w:rsid w:val="00C22DD0"/>
    <w:rsid w:val="00C22F1F"/>
    <w:rsid w:val="00C26B3B"/>
    <w:rsid w:val="00C27E8B"/>
    <w:rsid w:val="00C31205"/>
    <w:rsid w:val="00C31E44"/>
    <w:rsid w:val="00C32352"/>
    <w:rsid w:val="00C330DA"/>
    <w:rsid w:val="00C35A79"/>
    <w:rsid w:val="00C36755"/>
    <w:rsid w:val="00C368EF"/>
    <w:rsid w:val="00C36B2B"/>
    <w:rsid w:val="00C40AA5"/>
    <w:rsid w:val="00C410D8"/>
    <w:rsid w:val="00C42818"/>
    <w:rsid w:val="00C44227"/>
    <w:rsid w:val="00C46A41"/>
    <w:rsid w:val="00C46F70"/>
    <w:rsid w:val="00C476D0"/>
    <w:rsid w:val="00C50EE5"/>
    <w:rsid w:val="00C52C6B"/>
    <w:rsid w:val="00C53943"/>
    <w:rsid w:val="00C55CF8"/>
    <w:rsid w:val="00C57D35"/>
    <w:rsid w:val="00C616B9"/>
    <w:rsid w:val="00C64035"/>
    <w:rsid w:val="00C6434A"/>
    <w:rsid w:val="00C64555"/>
    <w:rsid w:val="00C662E4"/>
    <w:rsid w:val="00C712FB"/>
    <w:rsid w:val="00C72932"/>
    <w:rsid w:val="00C730B8"/>
    <w:rsid w:val="00C74199"/>
    <w:rsid w:val="00C74398"/>
    <w:rsid w:val="00C7604A"/>
    <w:rsid w:val="00C77B34"/>
    <w:rsid w:val="00C80C6B"/>
    <w:rsid w:val="00C80E88"/>
    <w:rsid w:val="00C8187E"/>
    <w:rsid w:val="00C8240A"/>
    <w:rsid w:val="00C830B9"/>
    <w:rsid w:val="00C836E3"/>
    <w:rsid w:val="00C836FF"/>
    <w:rsid w:val="00C854DC"/>
    <w:rsid w:val="00C86577"/>
    <w:rsid w:val="00C90E13"/>
    <w:rsid w:val="00C91047"/>
    <w:rsid w:val="00C91C02"/>
    <w:rsid w:val="00C92E07"/>
    <w:rsid w:val="00C96307"/>
    <w:rsid w:val="00C965D2"/>
    <w:rsid w:val="00C96868"/>
    <w:rsid w:val="00CA0206"/>
    <w:rsid w:val="00CA0416"/>
    <w:rsid w:val="00CA0503"/>
    <w:rsid w:val="00CA09B4"/>
    <w:rsid w:val="00CA0A0C"/>
    <w:rsid w:val="00CA1020"/>
    <w:rsid w:val="00CA4488"/>
    <w:rsid w:val="00CA463B"/>
    <w:rsid w:val="00CA5734"/>
    <w:rsid w:val="00CB0350"/>
    <w:rsid w:val="00CB0D0A"/>
    <w:rsid w:val="00CB115C"/>
    <w:rsid w:val="00CB4F80"/>
    <w:rsid w:val="00CB536C"/>
    <w:rsid w:val="00CB620F"/>
    <w:rsid w:val="00CB67B3"/>
    <w:rsid w:val="00CB69C8"/>
    <w:rsid w:val="00CB7EBC"/>
    <w:rsid w:val="00CC0726"/>
    <w:rsid w:val="00CC22F2"/>
    <w:rsid w:val="00CC3764"/>
    <w:rsid w:val="00CC3A35"/>
    <w:rsid w:val="00CC415A"/>
    <w:rsid w:val="00CC5468"/>
    <w:rsid w:val="00CC560B"/>
    <w:rsid w:val="00CC6B13"/>
    <w:rsid w:val="00CC75E2"/>
    <w:rsid w:val="00CD1041"/>
    <w:rsid w:val="00CD46EB"/>
    <w:rsid w:val="00CD5CC9"/>
    <w:rsid w:val="00CD7EBF"/>
    <w:rsid w:val="00CE0E9C"/>
    <w:rsid w:val="00CE27D5"/>
    <w:rsid w:val="00CE31B7"/>
    <w:rsid w:val="00CE36CB"/>
    <w:rsid w:val="00CE3B79"/>
    <w:rsid w:val="00CE44A2"/>
    <w:rsid w:val="00CE59AA"/>
    <w:rsid w:val="00CE75B3"/>
    <w:rsid w:val="00CE7C90"/>
    <w:rsid w:val="00CF0E86"/>
    <w:rsid w:val="00CF160B"/>
    <w:rsid w:val="00CF2665"/>
    <w:rsid w:val="00CF3C1D"/>
    <w:rsid w:val="00CF3C5E"/>
    <w:rsid w:val="00CF5878"/>
    <w:rsid w:val="00CF6472"/>
    <w:rsid w:val="00CF6529"/>
    <w:rsid w:val="00CF6E47"/>
    <w:rsid w:val="00CF6E7E"/>
    <w:rsid w:val="00CF7267"/>
    <w:rsid w:val="00D00DFA"/>
    <w:rsid w:val="00D0294A"/>
    <w:rsid w:val="00D04857"/>
    <w:rsid w:val="00D056F1"/>
    <w:rsid w:val="00D06616"/>
    <w:rsid w:val="00D0775F"/>
    <w:rsid w:val="00D07FF7"/>
    <w:rsid w:val="00D131B1"/>
    <w:rsid w:val="00D144D7"/>
    <w:rsid w:val="00D1498B"/>
    <w:rsid w:val="00D155C8"/>
    <w:rsid w:val="00D15A08"/>
    <w:rsid w:val="00D17329"/>
    <w:rsid w:val="00D176DE"/>
    <w:rsid w:val="00D17B27"/>
    <w:rsid w:val="00D22FA2"/>
    <w:rsid w:val="00D23DB6"/>
    <w:rsid w:val="00D2560B"/>
    <w:rsid w:val="00D27395"/>
    <w:rsid w:val="00D32E31"/>
    <w:rsid w:val="00D33B4D"/>
    <w:rsid w:val="00D33EC4"/>
    <w:rsid w:val="00D36A39"/>
    <w:rsid w:val="00D3713C"/>
    <w:rsid w:val="00D378F1"/>
    <w:rsid w:val="00D400D9"/>
    <w:rsid w:val="00D4059F"/>
    <w:rsid w:val="00D475CB"/>
    <w:rsid w:val="00D51A95"/>
    <w:rsid w:val="00D51E80"/>
    <w:rsid w:val="00D520F4"/>
    <w:rsid w:val="00D54724"/>
    <w:rsid w:val="00D55BE8"/>
    <w:rsid w:val="00D5775F"/>
    <w:rsid w:val="00D601E7"/>
    <w:rsid w:val="00D60568"/>
    <w:rsid w:val="00D6493D"/>
    <w:rsid w:val="00D64DB4"/>
    <w:rsid w:val="00D66EE7"/>
    <w:rsid w:val="00D701C3"/>
    <w:rsid w:val="00D703F2"/>
    <w:rsid w:val="00D70C7A"/>
    <w:rsid w:val="00D72A29"/>
    <w:rsid w:val="00D73CA5"/>
    <w:rsid w:val="00D74813"/>
    <w:rsid w:val="00D7708D"/>
    <w:rsid w:val="00D77247"/>
    <w:rsid w:val="00D82CEE"/>
    <w:rsid w:val="00D82D24"/>
    <w:rsid w:val="00D834E5"/>
    <w:rsid w:val="00D8403F"/>
    <w:rsid w:val="00D84C7E"/>
    <w:rsid w:val="00D85514"/>
    <w:rsid w:val="00D85EB1"/>
    <w:rsid w:val="00D87D77"/>
    <w:rsid w:val="00D90E04"/>
    <w:rsid w:val="00D92874"/>
    <w:rsid w:val="00D932E8"/>
    <w:rsid w:val="00D93AF3"/>
    <w:rsid w:val="00D95BF0"/>
    <w:rsid w:val="00D96C9C"/>
    <w:rsid w:val="00DA0FBE"/>
    <w:rsid w:val="00DA10A8"/>
    <w:rsid w:val="00DA1D7D"/>
    <w:rsid w:val="00DA36B8"/>
    <w:rsid w:val="00DA6DF3"/>
    <w:rsid w:val="00DB123A"/>
    <w:rsid w:val="00DB1E08"/>
    <w:rsid w:val="00DB2973"/>
    <w:rsid w:val="00DB4318"/>
    <w:rsid w:val="00DB7DD1"/>
    <w:rsid w:val="00DC082C"/>
    <w:rsid w:val="00DC0F24"/>
    <w:rsid w:val="00DC0FBA"/>
    <w:rsid w:val="00DC1939"/>
    <w:rsid w:val="00DC1B56"/>
    <w:rsid w:val="00DC20CC"/>
    <w:rsid w:val="00DC2129"/>
    <w:rsid w:val="00DC604B"/>
    <w:rsid w:val="00DC6570"/>
    <w:rsid w:val="00DC7B8D"/>
    <w:rsid w:val="00DD265C"/>
    <w:rsid w:val="00DD2E3E"/>
    <w:rsid w:val="00DD3703"/>
    <w:rsid w:val="00DD3A36"/>
    <w:rsid w:val="00DD48AC"/>
    <w:rsid w:val="00DD4AC0"/>
    <w:rsid w:val="00DD6B63"/>
    <w:rsid w:val="00DD7487"/>
    <w:rsid w:val="00DE1D0C"/>
    <w:rsid w:val="00DE34B4"/>
    <w:rsid w:val="00DE3BB7"/>
    <w:rsid w:val="00DE45D4"/>
    <w:rsid w:val="00DE4F35"/>
    <w:rsid w:val="00DE539D"/>
    <w:rsid w:val="00DE5528"/>
    <w:rsid w:val="00DF05CB"/>
    <w:rsid w:val="00DF0A4E"/>
    <w:rsid w:val="00DF165C"/>
    <w:rsid w:val="00DF1733"/>
    <w:rsid w:val="00DF25C3"/>
    <w:rsid w:val="00DF3726"/>
    <w:rsid w:val="00DF3EDA"/>
    <w:rsid w:val="00DF3F17"/>
    <w:rsid w:val="00DF510B"/>
    <w:rsid w:val="00DF5CFF"/>
    <w:rsid w:val="00DF72BB"/>
    <w:rsid w:val="00E01245"/>
    <w:rsid w:val="00E01B62"/>
    <w:rsid w:val="00E0363A"/>
    <w:rsid w:val="00E04062"/>
    <w:rsid w:val="00E063C6"/>
    <w:rsid w:val="00E1112B"/>
    <w:rsid w:val="00E11F79"/>
    <w:rsid w:val="00E1387C"/>
    <w:rsid w:val="00E14B43"/>
    <w:rsid w:val="00E155B5"/>
    <w:rsid w:val="00E2003B"/>
    <w:rsid w:val="00E2140A"/>
    <w:rsid w:val="00E22594"/>
    <w:rsid w:val="00E227AA"/>
    <w:rsid w:val="00E23915"/>
    <w:rsid w:val="00E24E79"/>
    <w:rsid w:val="00E25AF1"/>
    <w:rsid w:val="00E25B5A"/>
    <w:rsid w:val="00E26887"/>
    <w:rsid w:val="00E27036"/>
    <w:rsid w:val="00E279D8"/>
    <w:rsid w:val="00E30092"/>
    <w:rsid w:val="00E30954"/>
    <w:rsid w:val="00E31260"/>
    <w:rsid w:val="00E319B1"/>
    <w:rsid w:val="00E327A6"/>
    <w:rsid w:val="00E34088"/>
    <w:rsid w:val="00E3624C"/>
    <w:rsid w:val="00E3684F"/>
    <w:rsid w:val="00E42191"/>
    <w:rsid w:val="00E42604"/>
    <w:rsid w:val="00E47D3B"/>
    <w:rsid w:val="00E5303E"/>
    <w:rsid w:val="00E5492F"/>
    <w:rsid w:val="00E572B1"/>
    <w:rsid w:val="00E60C1B"/>
    <w:rsid w:val="00E6369A"/>
    <w:rsid w:val="00E648C8"/>
    <w:rsid w:val="00E66404"/>
    <w:rsid w:val="00E67D60"/>
    <w:rsid w:val="00E67F79"/>
    <w:rsid w:val="00E70371"/>
    <w:rsid w:val="00E70A86"/>
    <w:rsid w:val="00E71D64"/>
    <w:rsid w:val="00E73799"/>
    <w:rsid w:val="00E73E50"/>
    <w:rsid w:val="00E746DB"/>
    <w:rsid w:val="00E777EC"/>
    <w:rsid w:val="00E80FCD"/>
    <w:rsid w:val="00E83C78"/>
    <w:rsid w:val="00E8522C"/>
    <w:rsid w:val="00E862CA"/>
    <w:rsid w:val="00E90A7B"/>
    <w:rsid w:val="00E92E6F"/>
    <w:rsid w:val="00E935FF"/>
    <w:rsid w:val="00E94C7D"/>
    <w:rsid w:val="00E9653E"/>
    <w:rsid w:val="00EA2226"/>
    <w:rsid w:val="00EA38A6"/>
    <w:rsid w:val="00EA5007"/>
    <w:rsid w:val="00EA5ADD"/>
    <w:rsid w:val="00EA5E85"/>
    <w:rsid w:val="00EA7DB0"/>
    <w:rsid w:val="00EA7F2F"/>
    <w:rsid w:val="00EB1F85"/>
    <w:rsid w:val="00EB576F"/>
    <w:rsid w:val="00EB5894"/>
    <w:rsid w:val="00EB5C3A"/>
    <w:rsid w:val="00EB6418"/>
    <w:rsid w:val="00EB6590"/>
    <w:rsid w:val="00EB68E8"/>
    <w:rsid w:val="00EB7475"/>
    <w:rsid w:val="00EC00DE"/>
    <w:rsid w:val="00EC05D8"/>
    <w:rsid w:val="00EC1AC1"/>
    <w:rsid w:val="00EC21DF"/>
    <w:rsid w:val="00EC30E1"/>
    <w:rsid w:val="00EC3436"/>
    <w:rsid w:val="00EC3B70"/>
    <w:rsid w:val="00EC5DA7"/>
    <w:rsid w:val="00EC66BB"/>
    <w:rsid w:val="00EC676C"/>
    <w:rsid w:val="00ED095A"/>
    <w:rsid w:val="00ED172A"/>
    <w:rsid w:val="00ED30DB"/>
    <w:rsid w:val="00ED7052"/>
    <w:rsid w:val="00EE01DC"/>
    <w:rsid w:val="00EE7D13"/>
    <w:rsid w:val="00EF1524"/>
    <w:rsid w:val="00EF3083"/>
    <w:rsid w:val="00EF4A52"/>
    <w:rsid w:val="00EF6A07"/>
    <w:rsid w:val="00F00034"/>
    <w:rsid w:val="00F05773"/>
    <w:rsid w:val="00F10267"/>
    <w:rsid w:val="00F117A6"/>
    <w:rsid w:val="00F12948"/>
    <w:rsid w:val="00F12949"/>
    <w:rsid w:val="00F13842"/>
    <w:rsid w:val="00F13A9A"/>
    <w:rsid w:val="00F1490F"/>
    <w:rsid w:val="00F14AB3"/>
    <w:rsid w:val="00F14BEC"/>
    <w:rsid w:val="00F165ED"/>
    <w:rsid w:val="00F17BDF"/>
    <w:rsid w:val="00F20051"/>
    <w:rsid w:val="00F224B7"/>
    <w:rsid w:val="00F225C5"/>
    <w:rsid w:val="00F22BDB"/>
    <w:rsid w:val="00F25106"/>
    <w:rsid w:val="00F2587A"/>
    <w:rsid w:val="00F2676C"/>
    <w:rsid w:val="00F273F1"/>
    <w:rsid w:val="00F27DB9"/>
    <w:rsid w:val="00F27EAE"/>
    <w:rsid w:val="00F3300E"/>
    <w:rsid w:val="00F33470"/>
    <w:rsid w:val="00F34E02"/>
    <w:rsid w:val="00F353EC"/>
    <w:rsid w:val="00F36E17"/>
    <w:rsid w:val="00F3715D"/>
    <w:rsid w:val="00F37A10"/>
    <w:rsid w:val="00F41C1B"/>
    <w:rsid w:val="00F420C8"/>
    <w:rsid w:val="00F424BC"/>
    <w:rsid w:val="00F42A4C"/>
    <w:rsid w:val="00F43DBB"/>
    <w:rsid w:val="00F4689D"/>
    <w:rsid w:val="00F5155C"/>
    <w:rsid w:val="00F526BD"/>
    <w:rsid w:val="00F53260"/>
    <w:rsid w:val="00F54192"/>
    <w:rsid w:val="00F54894"/>
    <w:rsid w:val="00F54F6F"/>
    <w:rsid w:val="00F5798B"/>
    <w:rsid w:val="00F6039D"/>
    <w:rsid w:val="00F609DB"/>
    <w:rsid w:val="00F6228C"/>
    <w:rsid w:val="00F634A1"/>
    <w:rsid w:val="00F63E2E"/>
    <w:rsid w:val="00F705F3"/>
    <w:rsid w:val="00F716E8"/>
    <w:rsid w:val="00F742B1"/>
    <w:rsid w:val="00F768BF"/>
    <w:rsid w:val="00F76C84"/>
    <w:rsid w:val="00F8146C"/>
    <w:rsid w:val="00F81E61"/>
    <w:rsid w:val="00F83746"/>
    <w:rsid w:val="00F85E61"/>
    <w:rsid w:val="00F86914"/>
    <w:rsid w:val="00F8777A"/>
    <w:rsid w:val="00F877F6"/>
    <w:rsid w:val="00F933D0"/>
    <w:rsid w:val="00F96781"/>
    <w:rsid w:val="00F96C68"/>
    <w:rsid w:val="00FA05AA"/>
    <w:rsid w:val="00FA05F0"/>
    <w:rsid w:val="00FA188B"/>
    <w:rsid w:val="00FA295C"/>
    <w:rsid w:val="00FA53AE"/>
    <w:rsid w:val="00FA5C4C"/>
    <w:rsid w:val="00FA6533"/>
    <w:rsid w:val="00FA782D"/>
    <w:rsid w:val="00FA79A8"/>
    <w:rsid w:val="00FB0326"/>
    <w:rsid w:val="00FB08D5"/>
    <w:rsid w:val="00FB1C13"/>
    <w:rsid w:val="00FB2A4E"/>
    <w:rsid w:val="00FB4D39"/>
    <w:rsid w:val="00FB5BB2"/>
    <w:rsid w:val="00FB7512"/>
    <w:rsid w:val="00FC0A3D"/>
    <w:rsid w:val="00FC5BF5"/>
    <w:rsid w:val="00FC5C79"/>
    <w:rsid w:val="00FC7586"/>
    <w:rsid w:val="00FC7CA2"/>
    <w:rsid w:val="00FD324E"/>
    <w:rsid w:val="00FD4185"/>
    <w:rsid w:val="00FD4400"/>
    <w:rsid w:val="00FD6AD3"/>
    <w:rsid w:val="00FD7246"/>
    <w:rsid w:val="00FD7547"/>
    <w:rsid w:val="00FD7EAE"/>
    <w:rsid w:val="00FE00E6"/>
    <w:rsid w:val="00FE287B"/>
    <w:rsid w:val="00FE36BE"/>
    <w:rsid w:val="00FE4CB2"/>
    <w:rsid w:val="00FE6612"/>
    <w:rsid w:val="00FE6901"/>
    <w:rsid w:val="00FE6B50"/>
    <w:rsid w:val="00FF1080"/>
    <w:rsid w:val="00FF1B03"/>
    <w:rsid w:val="00FF1CA4"/>
    <w:rsid w:val="00FF31CD"/>
    <w:rsid w:val="00FF3E26"/>
    <w:rsid w:val="00FF5F5C"/>
    <w:rsid w:val="00FF6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5393"/>
    <o:shapelayout v:ext="edit">
      <o:idmap v:ext="edit" data="1"/>
    </o:shapelayout>
  </w:shapeDefaults>
  <w:decimalSymbol w:val="."/>
  <w:listSeparator w:val=","/>
  <w14:docId w14:val="547DD476"/>
  <w15:docId w15:val="{C16D295C-00A5-4B25-80A2-C511B401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2"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2"/>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uiPriority w:val="5"/>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uiPriority w:val="99"/>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aliases w:val="n_to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qFormat/>
    <w:rsid w:val="00AB67D3"/>
    <w:pPr>
      <w:ind w:left="720"/>
      <w:contextualSpacing/>
    </w:pPr>
  </w:style>
  <w:style w:type="character" w:customStyle="1" w:styleId="BodystyleChar">
    <w:name w:val="Body style Char"/>
    <w:link w:val="Bodystyle"/>
    <w:locked/>
    <w:rsid w:val="00FB1C13"/>
    <w:rPr>
      <w:rFonts w:ascii="Arial" w:hAnsi="Arial" w:cs="Arial"/>
      <w:sz w:val="22"/>
      <w:szCs w:val="24"/>
      <w:lang w:val="en-AU" w:eastAsia="en-US"/>
    </w:rPr>
  </w:style>
  <w:style w:type="paragraph" w:customStyle="1" w:styleId="Bodystyle">
    <w:name w:val="Body style"/>
    <w:basedOn w:val="Normal"/>
    <w:link w:val="BodystyleChar"/>
    <w:rsid w:val="00FB1C13"/>
    <w:pPr>
      <w:widowControl/>
      <w:spacing w:after="240"/>
    </w:pPr>
    <w:rPr>
      <w:rFonts w:cs="Arial"/>
      <w:lang w:val="en-AU" w:bidi="ar-SA"/>
    </w:rPr>
  </w:style>
  <w:style w:type="paragraph" w:customStyle="1" w:styleId="FSTableFigureHeading">
    <w:name w:val="FSTable/Figure Heading"/>
    <w:basedOn w:val="Normal"/>
    <w:uiPriority w:val="7"/>
    <w:qFormat/>
    <w:locked/>
    <w:rsid w:val="009501E3"/>
    <w:pPr>
      <w:widowControl/>
      <w:spacing w:before="120" w:after="120"/>
      <w:ind w:left="1134" w:hanging="1134"/>
    </w:pPr>
    <w:rPr>
      <w:rFonts w:eastAsiaTheme="minorHAnsi" w:cs="Arial"/>
      <w:b/>
      <w:i/>
      <w:color w:val="2E3037"/>
      <w:szCs w:val="22"/>
      <w:lang w:val="en-AU" w:bidi="ar-SA"/>
    </w:rPr>
  </w:style>
  <w:style w:type="table" w:customStyle="1" w:styleId="TableGrid1">
    <w:name w:val="Table Grid1"/>
    <w:basedOn w:val="TableNormal"/>
    <w:uiPriority w:val="59"/>
    <w:rsid w:val="008F56BD"/>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
    <w:name w:val="Medium Shading 1 - Accent 31"/>
    <w:basedOn w:val="TableNormal"/>
    <w:next w:val="MediumShading1-Accent3"/>
    <w:uiPriority w:val="63"/>
    <w:rsid w:val="005603A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Caption">
    <w:name w:val="caption"/>
    <w:basedOn w:val="Normal"/>
    <w:next w:val="Normal"/>
    <w:unhideWhenUsed/>
    <w:rsid w:val="008A692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4938">
      <w:bodyDiv w:val="1"/>
      <w:marLeft w:val="0"/>
      <w:marRight w:val="0"/>
      <w:marTop w:val="0"/>
      <w:marBottom w:val="0"/>
      <w:divBdr>
        <w:top w:val="none" w:sz="0" w:space="0" w:color="auto"/>
        <w:left w:val="none" w:sz="0" w:space="0" w:color="auto"/>
        <w:bottom w:val="none" w:sz="0" w:space="0" w:color="auto"/>
        <w:right w:val="none" w:sz="0" w:space="0" w:color="auto"/>
      </w:divBdr>
    </w:div>
    <w:div w:id="63840884">
      <w:bodyDiv w:val="1"/>
      <w:marLeft w:val="0"/>
      <w:marRight w:val="0"/>
      <w:marTop w:val="0"/>
      <w:marBottom w:val="0"/>
      <w:divBdr>
        <w:top w:val="none" w:sz="0" w:space="0" w:color="auto"/>
        <w:left w:val="none" w:sz="0" w:space="0" w:color="auto"/>
        <w:bottom w:val="none" w:sz="0" w:space="0" w:color="auto"/>
        <w:right w:val="none" w:sz="0" w:space="0" w:color="auto"/>
      </w:divBdr>
    </w:div>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85080222">
      <w:bodyDiv w:val="1"/>
      <w:marLeft w:val="0"/>
      <w:marRight w:val="0"/>
      <w:marTop w:val="0"/>
      <w:marBottom w:val="0"/>
      <w:divBdr>
        <w:top w:val="none" w:sz="0" w:space="0" w:color="auto"/>
        <w:left w:val="none" w:sz="0" w:space="0" w:color="auto"/>
        <w:bottom w:val="none" w:sz="0" w:space="0" w:color="auto"/>
        <w:right w:val="none" w:sz="0" w:space="0" w:color="auto"/>
      </w:divBdr>
    </w:div>
    <w:div w:id="111704430">
      <w:bodyDiv w:val="1"/>
      <w:marLeft w:val="0"/>
      <w:marRight w:val="0"/>
      <w:marTop w:val="0"/>
      <w:marBottom w:val="0"/>
      <w:divBdr>
        <w:top w:val="none" w:sz="0" w:space="0" w:color="auto"/>
        <w:left w:val="none" w:sz="0" w:space="0" w:color="auto"/>
        <w:bottom w:val="none" w:sz="0" w:space="0" w:color="auto"/>
        <w:right w:val="none" w:sz="0" w:space="0" w:color="auto"/>
      </w:divBdr>
    </w:div>
    <w:div w:id="112869361">
      <w:bodyDiv w:val="1"/>
      <w:marLeft w:val="0"/>
      <w:marRight w:val="0"/>
      <w:marTop w:val="0"/>
      <w:marBottom w:val="0"/>
      <w:divBdr>
        <w:top w:val="none" w:sz="0" w:space="0" w:color="auto"/>
        <w:left w:val="none" w:sz="0" w:space="0" w:color="auto"/>
        <w:bottom w:val="none" w:sz="0" w:space="0" w:color="auto"/>
        <w:right w:val="none" w:sz="0" w:space="0" w:color="auto"/>
      </w:divBdr>
    </w:div>
    <w:div w:id="156389973">
      <w:bodyDiv w:val="1"/>
      <w:marLeft w:val="0"/>
      <w:marRight w:val="0"/>
      <w:marTop w:val="0"/>
      <w:marBottom w:val="0"/>
      <w:divBdr>
        <w:top w:val="none" w:sz="0" w:space="0" w:color="auto"/>
        <w:left w:val="none" w:sz="0" w:space="0" w:color="auto"/>
        <w:bottom w:val="none" w:sz="0" w:space="0" w:color="auto"/>
        <w:right w:val="none" w:sz="0" w:space="0" w:color="auto"/>
      </w:divBdr>
    </w:div>
    <w:div w:id="182323143">
      <w:bodyDiv w:val="1"/>
      <w:marLeft w:val="0"/>
      <w:marRight w:val="0"/>
      <w:marTop w:val="0"/>
      <w:marBottom w:val="0"/>
      <w:divBdr>
        <w:top w:val="none" w:sz="0" w:space="0" w:color="auto"/>
        <w:left w:val="none" w:sz="0" w:space="0" w:color="auto"/>
        <w:bottom w:val="none" w:sz="0" w:space="0" w:color="auto"/>
        <w:right w:val="none" w:sz="0" w:space="0" w:color="auto"/>
      </w:divBdr>
    </w:div>
    <w:div w:id="265819668">
      <w:bodyDiv w:val="1"/>
      <w:marLeft w:val="0"/>
      <w:marRight w:val="0"/>
      <w:marTop w:val="0"/>
      <w:marBottom w:val="0"/>
      <w:divBdr>
        <w:top w:val="none" w:sz="0" w:space="0" w:color="auto"/>
        <w:left w:val="none" w:sz="0" w:space="0" w:color="auto"/>
        <w:bottom w:val="none" w:sz="0" w:space="0" w:color="auto"/>
        <w:right w:val="none" w:sz="0" w:space="0" w:color="auto"/>
      </w:divBdr>
    </w:div>
    <w:div w:id="293370330">
      <w:bodyDiv w:val="1"/>
      <w:marLeft w:val="0"/>
      <w:marRight w:val="0"/>
      <w:marTop w:val="0"/>
      <w:marBottom w:val="0"/>
      <w:divBdr>
        <w:top w:val="none" w:sz="0" w:space="0" w:color="auto"/>
        <w:left w:val="none" w:sz="0" w:space="0" w:color="auto"/>
        <w:bottom w:val="none" w:sz="0" w:space="0" w:color="auto"/>
        <w:right w:val="none" w:sz="0" w:space="0" w:color="auto"/>
      </w:divBdr>
    </w:div>
    <w:div w:id="405614849">
      <w:bodyDiv w:val="1"/>
      <w:marLeft w:val="0"/>
      <w:marRight w:val="0"/>
      <w:marTop w:val="0"/>
      <w:marBottom w:val="0"/>
      <w:divBdr>
        <w:top w:val="none" w:sz="0" w:space="0" w:color="auto"/>
        <w:left w:val="none" w:sz="0" w:space="0" w:color="auto"/>
        <w:bottom w:val="none" w:sz="0" w:space="0" w:color="auto"/>
        <w:right w:val="none" w:sz="0" w:space="0" w:color="auto"/>
      </w:divBdr>
    </w:div>
    <w:div w:id="45344896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43323700">
      <w:bodyDiv w:val="1"/>
      <w:marLeft w:val="0"/>
      <w:marRight w:val="0"/>
      <w:marTop w:val="0"/>
      <w:marBottom w:val="0"/>
      <w:divBdr>
        <w:top w:val="none" w:sz="0" w:space="0" w:color="auto"/>
        <w:left w:val="none" w:sz="0" w:space="0" w:color="auto"/>
        <w:bottom w:val="none" w:sz="0" w:space="0" w:color="auto"/>
        <w:right w:val="none" w:sz="0" w:space="0" w:color="auto"/>
      </w:divBdr>
    </w:div>
    <w:div w:id="604188986">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61477926">
      <w:bodyDiv w:val="1"/>
      <w:marLeft w:val="0"/>
      <w:marRight w:val="0"/>
      <w:marTop w:val="0"/>
      <w:marBottom w:val="0"/>
      <w:divBdr>
        <w:top w:val="none" w:sz="0" w:space="0" w:color="auto"/>
        <w:left w:val="none" w:sz="0" w:space="0" w:color="auto"/>
        <w:bottom w:val="none" w:sz="0" w:space="0" w:color="auto"/>
        <w:right w:val="none" w:sz="0" w:space="0" w:color="auto"/>
      </w:divBdr>
    </w:div>
    <w:div w:id="929192130">
      <w:bodyDiv w:val="1"/>
      <w:marLeft w:val="0"/>
      <w:marRight w:val="0"/>
      <w:marTop w:val="0"/>
      <w:marBottom w:val="0"/>
      <w:divBdr>
        <w:top w:val="none" w:sz="0" w:space="0" w:color="auto"/>
        <w:left w:val="none" w:sz="0" w:space="0" w:color="auto"/>
        <w:bottom w:val="none" w:sz="0" w:space="0" w:color="auto"/>
        <w:right w:val="none" w:sz="0" w:space="0" w:color="auto"/>
      </w:divBdr>
    </w:div>
    <w:div w:id="993335658">
      <w:bodyDiv w:val="1"/>
      <w:marLeft w:val="0"/>
      <w:marRight w:val="0"/>
      <w:marTop w:val="0"/>
      <w:marBottom w:val="0"/>
      <w:divBdr>
        <w:top w:val="none" w:sz="0" w:space="0" w:color="auto"/>
        <w:left w:val="none" w:sz="0" w:space="0" w:color="auto"/>
        <w:bottom w:val="none" w:sz="0" w:space="0" w:color="auto"/>
        <w:right w:val="none" w:sz="0" w:space="0" w:color="auto"/>
      </w:divBdr>
    </w:div>
    <w:div w:id="1002196056">
      <w:bodyDiv w:val="1"/>
      <w:marLeft w:val="0"/>
      <w:marRight w:val="0"/>
      <w:marTop w:val="0"/>
      <w:marBottom w:val="0"/>
      <w:divBdr>
        <w:top w:val="none" w:sz="0" w:space="0" w:color="auto"/>
        <w:left w:val="none" w:sz="0" w:space="0" w:color="auto"/>
        <w:bottom w:val="none" w:sz="0" w:space="0" w:color="auto"/>
        <w:right w:val="none" w:sz="0" w:space="0" w:color="auto"/>
      </w:divBdr>
    </w:div>
    <w:div w:id="1094088948">
      <w:bodyDiv w:val="1"/>
      <w:marLeft w:val="0"/>
      <w:marRight w:val="0"/>
      <w:marTop w:val="0"/>
      <w:marBottom w:val="0"/>
      <w:divBdr>
        <w:top w:val="none" w:sz="0" w:space="0" w:color="auto"/>
        <w:left w:val="none" w:sz="0" w:space="0" w:color="auto"/>
        <w:bottom w:val="none" w:sz="0" w:space="0" w:color="auto"/>
        <w:right w:val="none" w:sz="0" w:space="0" w:color="auto"/>
      </w:divBdr>
    </w:div>
    <w:div w:id="1163467808">
      <w:bodyDiv w:val="1"/>
      <w:marLeft w:val="0"/>
      <w:marRight w:val="0"/>
      <w:marTop w:val="0"/>
      <w:marBottom w:val="0"/>
      <w:divBdr>
        <w:top w:val="none" w:sz="0" w:space="0" w:color="auto"/>
        <w:left w:val="none" w:sz="0" w:space="0" w:color="auto"/>
        <w:bottom w:val="none" w:sz="0" w:space="0" w:color="auto"/>
        <w:right w:val="none" w:sz="0" w:space="0" w:color="auto"/>
      </w:divBdr>
    </w:div>
    <w:div w:id="1182936511">
      <w:bodyDiv w:val="1"/>
      <w:marLeft w:val="0"/>
      <w:marRight w:val="0"/>
      <w:marTop w:val="0"/>
      <w:marBottom w:val="0"/>
      <w:divBdr>
        <w:top w:val="none" w:sz="0" w:space="0" w:color="auto"/>
        <w:left w:val="none" w:sz="0" w:space="0" w:color="auto"/>
        <w:bottom w:val="none" w:sz="0" w:space="0" w:color="auto"/>
        <w:right w:val="none" w:sz="0" w:space="0" w:color="auto"/>
      </w:divBdr>
    </w:div>
    <w:div w:id="1189415095">
      <w:bodyDiv w:val="1"/>
      <w:marLeft w:val="0"/>
      <w:marRight w:val="0"/>
      <w:marTop w:val="0"/>
      <w:marBottom w:val="0"/>
      <w:divBdr>
        <w:top w:val="none" w:sz="0" w:space="0" w:color="auto"/>
        <w:left w:val="none" w:sz="0" w:space="0" w:color="auto"/>
        <w:bottom w:val="none" w:sz="0" w:space="0" w:color="auto"/>
        <w:right w:val="none" w:sz="0" w:space="0" w:color="auto"/>
      </w:divBdr>
    </w:div>
    <w:div w:id="1214807950">
      <w:bodyDiv w:val="1"/>
      <w:marLeft w:val="0"/>
      <w:marRight w:val="0"/>
      <w:marTop w:val="0"/>
      <w:marBottom w:val="0"/>
      <w:divBdr>
        <w:top w:val="none" w:sz="0" w:space="0" w:color="auto"/>
        <w:left w:val="none" w:sz="0" w:space="0" w:color="auto"/>
        <w:bottom w:val="none" w:sz="0" w:space="0" w:color="auto"/>
        <w:right w:val="none" w:sz="0" w:space="0" w:color="auto"/>
      </w:divBdr>
    </w:div>
    <w:div w:id="1244416212">
      <w:bodyDiv w:val="1"/>
      <w:marLeft w:val="0"/>
      <w:marRight w:val="0"/>
      <w:marTop w:val="0"/>
      <w:marBottom w:val="0"/>
      <w:divBdr>
        <w:top w:val="none" w:sz="0" w:space="0" w:color="auto"/>
        <w:left w:val="none" w:sz="0" w:space="0" w:color="auto"/>
        <w:bottom w:val="none" w:sz="0" w:space="0" w:color="auto"/>
        <w:right w:val="none" w:sz="0" w:space="0" w:color="auto"/>
      </w:divBdr>
    </w:div>
    <w:div w:id="1292902507">
      <w:bodyDiv w:val="1"/>
      <w:marLeft w:val="0"/>
      <w:marRight w:val="0"/>
      <w:marTop w:val="0"/>
      <w:marBottom w:val="0"/>
      <w:divBdr>
        <w:top w:val="none" w:sz="0" w:space="0" w:color="auto"/>
        <w:left w:val="none" w:sz="0" w:space="0" w:color="auto"/>
        <w:bottom w:val="none" w:sz="0" w:space="0" w:color="auto"/>
        <w:right w:val="none" w:sz="0" w:space="0" w:color="auto"/>
      </w:divBdr>
    </w:div>
    <w:div w:id="1305307958">
      <w:bodyDiv w:val="1"/>
      <w:marLeft w:val="0"/>
      <w:marRight w:val="0"/>
      <w:marTop w:val="0"/>
      <w:marBottom w:val="0"/>
      <w:divBdr>
        <w:top w:val="none" w:sz="0" w:space="0" w:color="auto"/>
        <w:left w:val="none" w:sz="0" w:space="0" w:color="auto"/>
        <w:bottom w:val="none" w:sz="0" w:space="0" w:color="auto"/>
        <w:right w:val="none" w:sz="0" w:space="0" w:color="auto"/>
      </w:divBdr>
    </w:div>
    <w:div w:id="1359812396">
      <w:bodyDiv w:val="1"/>
      <w:marLeft w:val="0"/>
      <w:marRight w:val="0"/>
      <w:marTop w:val="0"/>
      <w:marBottom w:val="0"/>
      <w:divBdr>
        <w:top w:val="none" w:sz="0" w:space="0" w:color="auto"/>
        <w:left w:val="none" w:sz="0" w:space="0" w:color="auto"/>
        <w:bottom w:val="none" w:sz="0" w:space="0" w:color="auto"/>
        <w:right w:val="none" w:sz="0" w:space="0" w:color="auto"/>
      </w:divBdr>
    </w:div>
    <w:div w:id="1381444947">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33939464">
      <w:bodyDiv w:val="1"/>
      <w:marLeft w:val="0"/>
      <w:marRight w:val="0"/>
      <w:marTop w:val="0"/>
      <w:marBottom w:val="0"/>
      <w:divBdr>
        <w:top w:val="none" w:sz="0" w:space="0" w:color="auto"/>
        <w:left w:val="none" w:sz="0" w:space="0" w:color="auto"/>
        <w:bottom w:val="none" w:sz="0" w:space="0" w:color="auto"/>
        <w:right w:val="none" w:sz="0" w:space="0" w:color="auto"/>
      </w:divBdr>
    </w:div>
    <w:div w:id="1489327599">
      <w:bodyDiv w:val="1"/>
      <w:marLeft w:val="0"/>
      <w:marRight w:val="0"/>
      <w:marTop w:val="0"/>
      <w:marBottom w:val="0"/>
      <w:divBdr>
        <w:top w:val="none" w:sz="0" w:space="0" w:color="auto"/>
        <w:left w:val="none" w:sz="0" w:space="0" w:color="auto"/>
        <w:bottom w:val="none" w:sz="0" w:space="0" w:color="auto"/>
        <w:right w:val="none" w:sz="0" w:space="0" w:color="auto"/>
      </w:divBdr>
    </w:div>
    <w:div w:id="1500735149">
      <w:bodyDiv w:val="1"/>
      <w:marLeft w:val="0"/>
      <w:marRight w:val="0"/>
      <w:marTop w:val="0"/>
      <w:marBottom w:val="0"/>
      <w:divBdr>
        <w:top w:val="none" w:sz="0" w:space="0" w:color="auto"/>
        <w:left w:val="none" w:sz="0" w:space="0" w:color="auto"/>
        <w:bottom w:val="none" w:sz="0" w:space="0" w:color="auto"/>
        <w:right w:val="none" w:sz="0" w:space="0" w:color="auto"/>
      </w:divBdr>
    </w:div>
    <w:div w:id="1543056691">
      <w:bodyDiv w:val="1"/>
      <w:marLeft w:val="0"/>
      <w:marRight w:val="0"/>
      <w:marTop w:val="0"/>
      <w:marBottom w:val="0"/>
      <w:divBdr>
        <w:top w:val="none" w:sz="0" w:space="0" w:color="auto"/>
        <w:left w:val="none" w:sz="0" w:space="0" w:color="auto"/>
        <w:bottom w:val="none" w:sz="0" w:space="0" w:color="auto"/>
        <w:right w:val="none" w:sz="0" w:space="0" w:color="auto"/>
      </w:divBdr>
    </w:div>
    <w:div w:id="1648315510">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2062711646">
      <w:bodyDiv w:val="1"/>
      <w:marLeft w:val="0"/>
      <w:marRight w:val="0"/>
      <w:marTop w:val="0"/>
      <w:marBottom w:val="0"/>
      <w:divBdr>
        <w:top w:val="none" w:sz="0" w:space="0" w:color="auto"/>
        <w:left w:val="none" w:sz="0" w:space="0" w:color="auto"/>
        <w:bottom w:val="none" w:sz="0" w:space="0" w:color="auto"/>
        <w:right w:val="none" w:sz="0" w:space="0" w:color="auto"/>
      </w:divBdr>
    </w:div>
    <w:div w:id="210286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s://www.foodstandards.gov.au/consumer/labelling/review/Pages/Labelling-review-recommendation-34irradiation-labelling.aspx" TargetMode="External"/><Relationship Id="rId39" Type="http://schemas.openxmlformats.org/officeDocument/2006/relationships/fontTable" Target="fontTable.xml"/><Relationship Id="rId21" Type="http://schemas.openxmlformats.org/officeDocument/2006/relationships/hyperlink" Target="http://www.fao.org/fao-who-codexalimentarius/sh-proxy/en/?lnk=1&amp;url=https%253A%252F%252Fworkspace.fao.org%252Fsites%252Fcodex%252FStandards%252FCXS%2B1-1985%252FCXS_001e.pdf" TargetMode="External"/><Relationship Id="rId34"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yperlink" Target="https://www.foe.org.au/_a1193_faq" TargetMode="External"/><Relationship Id="rId33" Type="http://schemas.openxmlformats.org/officeDocument/2006/relationships/hyperlink" Target="https://www.foodstandards.gov.au/code/applications/Pages/A1115IrradiationBlueberriesandRaspberries.aspx"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ao.org/fao-who-codexalimentarius/sh-proxy/pt/?lnk=1&amp;url=https%253A%252F%252Fworkspace.fao.org%252Fsites%252Fcodex%252FStandards%252FCXS%2B106-1983%252FCXS_106e.pdf" TargetMode="External"/><Relationship Id="rId29" Type="http://schemas.openxmlformats.org/officeDocument/2006/relationships/hyperlink" Target="https://www.foodstandards.gov.au/code/applications/Pages/applicationa443irradiationoftropicalfru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foe.org.au/queensland_irradiation" TargetMode="External"/><Relationship Id="rId32" Type="http://schemas.openxmlformats.org/officeDocument/2006/relationships/hyperlink" Target="https://www.foodstandards.gov.au/code/applications/Pages/A1092-Irradiation.aspx" TargetMode="Externa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foodstandards.gov.au/code/applications/Documents/A1193%20Campaign%20Letter.pdf?csf=1&amp;e=pVD2WM" TargetMode="External"/><Relationship Id="rId28" Type="http://schemas.openxmlformats.org/officeDocument/2006/relationships/hyperlink" Target="https://www.foodstandards.gov.au/publications/Documents/Nutritional%20impact%20of%20phytosanitary%20irradiation%20of%20fruits%20and%20vegetables/Nutritional%20impact%20of%20phytosanitary%20irradiation%20of%20fruits%20and%20vegetables.pdf" TargetMode="External"/><Relationship Id="rId36" Type="http://schemas.openxmlformats.org/officeDocument/2006/relationships/hyperlink" Target="https://www.foodstandards.gov.au/publications/Pages/Nutritional-impact-of-phytosanitary-irradiation-of-fruits-and-vegetables.aspx" TargetMode="External"/><Relationship Id="rId10" Type="http://schemas.openxmlformats.org/officeDocument/2006/relationships/styles" Target="styles.xml"/><Relationship Id="rId19" Type="http://schemas.openxmlformats.org/officeDocument/2006/relationships/hyperlink" Target="https://www.foodstandards.gov.au/code/applications/Pages/A1193.aspx" TargetMode="External"/><Relationship Id="rId31" Type="http://schemas.openxmlformats.org/officeDocument/2006/relationships/hyperlink" Target="https://www.foodstandards.gov.au/code/applications/Pages/applicationa1069irra5511.aspx" TargetMode="External"/><Relationship Id="rId35" Type="http://schemas.openxmlformats.org/officeDocument/2006/relationships/hyperlink" Target="https://www.ippc.int/static/media/files/publication/en/2016/06/PT_07_2009_En_2016-04-22_PostCPM11_InkAm.pdf" TargetMode="Externa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foe.org.au/queensland_irradiation" TargetMode="External"/><Relationship Id="rId27" Type="http://schemas.openxmlformats.org/officeDocument/2006/relationships/hyperlink" Target="https://www.foodstandards.gov.au/consumer/labelling/review/Pages/Labelling-review-recommendation-34irradiation-labelling.aspx" TargetMode="External"/><Relationship Id="rId30" Type="http://schemas.openxmlformats.org/officeDocument/2006/relationships/hyperlink" Target="https://www.foodstandards.gov.au/code/applications/Pages/applicationa1038irra4655.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oodstandards.gov.au/code/applications/Documents/A1092-Irradiation-AppR-SD2.pdf" TargetMode="External"/><Relationship Id="rId1" Type="http://schemas.openxmlformats.org/officeDocument/2006/relationships/hyperlink" Target="https://www.foodstandards.gov.au/code/applications/Pages/A1193.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46A6BFCAFF41A48B1521F635017CDE6" ma:contentTypeVersion="45" ma:contentTypeDescription="FSANZ Record" ma:contentTypeScope="" ma:versionID="1ee5e3fb236b6854da1ca1a9d51ef239">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01df3bc849db87217bceafe434220394"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C23A3-BC68-4BFF-8AA8-1964D794EAD0}"/>
</file>

<file path=customXml/itemProps2.xml><?xml version="1.0" encoding="utf-8"?>
<ds:datastoreItem xmlns:ds="http://schemas.openxmlformats.org/officeDocument/2006/customXml" ds:itemID="{D7083978-29A7-42E3-9655-25C10D712D3B}"/>
</file>

<file path=customXml/itemProps3.xml><?xml version="1.0" encoding="utf-8"?>
<ds:datastoreItem xmlns:ds="http://schemas.openxmlformats.org/officeDocument/2006/customXml" ds:itemID="{B15850B9-A272-4FB2-88D0-169C5AF31C0B}">
  <ds:schemaRefs>
    <ds:schemaRef ds:uri="Microsoft.SharePoint.Taxonomy.ContentTypeSync"/>
  </ds:schemaRefs>
</ds:datastoreItem>
</file>

<file path=customXml/itemProps4.xml><?xml version="1.0" encoding="utf-8"?>
<ds:datastoreItem xmlns:ds="http://schemas.openxmlformats.org/officeDocument/2006/customXml" ds:itemID="{6CFAE42E-E63E-4978-B431-0BFF6BC22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C81A5C-2690-4357-89AA-CEF2A3B41570}"/>
</file>

<file path=customXml/itemProps6.xml><?xml version="1.0" encoding="utf-8"?>
<ds:datastoreItem xmlns:ds="http://schemas.openxmlformats.org/officeDocument/2006/customXml" ds:itemID="{B2E6CF9A-9C37-4C0F-9561-4A2170E2A317}"/>
</file>

<file path=customXml/itemProps7.xml><?xml version="1.0" encoding="utf-8"?>
<ds:datastoreItem xmlns:ds="http://schemas.openxmlformats.org/officeDocument/2006/customXml" ds:itemID="{25729314-6E24-48AB-A2B8-00D73B95939C}"/>
</file>

<file path=customXml/itemProps8.xml><?xml version="1.0" encoding="utf-8"?>
<ds:datastoreItem xmlns:ds="http://schemas.openxmlformats.org/officeDocument/2006/customXml" ds:itemID="{B2E6CF9A-9C37-4C0F-9561-4A2170E2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 Approval</Template>
  <TotalTime>0</TotalTime>
  <Pages>47</Pages>
  <Words>18292</Words>
  <Characters>104266</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122314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Tailee Vecchi</cp:lastModifiedBy>
  <cp:revision>2</cp:revision>
  <cp:lastPrinted>2021-04-13T01:51:00Z</cp:lastPrinted>
  <dcterms:created xsi:type="dcterms:W3CDTF">2021-05-10T04:02:00Z</dcterms:created>
  <dcterms:modified xsi:type="dcterms:W3CDTF">2021-05-10T04:02:00Z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2538437d-0424-4111-9d5d-097cbeab4cb9</vt:lpwstr>
  </property>
  <property fmtid="{D5CDD505-2E9C-101B-9397-08002B2CF9AE}" pid="6" name="DisposalClass">
    <vt:lpwstr/>
  </property>
  <property fmtid="{D5CDD505-2E9C-101B-9397-08002B2CF9AE}" pid="7" name="BCS_">
    <vt:lpwstr>35;#Evaluation|43bd8487-b9f6-4055-946c-a118d364275d</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y fmtid="{D5CDD505-2E9C-101B-9397-08002B2CF9AE}" pid="11" name="RecordPoint_WorkflowType">
    <vt:lpwstr>ActiveSubmitStub</vt:lpwstr>
  </property>
  <property fmtid="{D5CDD505-2E9C-101B-9397-08002B2CF9AE}" pid="12" name="RecordPoint_ActiveItemUniqueId">
    <vt:lpwstr>{2538437d-0424-4111-9d5d-097cbeab4cb9}</vt:lpwstr>
  </property>
  <property fmtid="{D5CDD505-2E9C-101B-9397-08002B2CF9AE}" pid="13" name="RecordPoint_RecordNumberSubmitted">
    <vt:lpwstr>R0000146519</vt:lpwstr>
  </property>
  <property fmtid="{D5CDD505-2E9C-101B-9397-08002B2CF9AE}" pid="14" name="RecordPoint_SubmissionCompleted">
    <vt:lpwstr>2021-05-10T13:55:10.0175845+10:00</vt:lpwstr>
  </property>
  <property fmtid="{D5CDD505-2E9C-101B-9397-08002B2CF9AE}" pid="15" name="docIndexRef">
    <vt:lpwstr>34228736-aff4-4b19-9983-092012f25208</vt:lpwstr>
  </property>
  <property fmtid="{D5CDD505-2E9C-101B-9397-08002B2CF9AE}" pid="16" name="RecordPoint_ActiveItemListId">
    <vt:lpwstr>{3a9826a6-ef3d-4704-849b-07726235ecc0}</vt:lpwstr>
  </property>
  <property fmtid="{D5CDD505-2E9C-101B-9397-08002B2CF9AE}" pid="17" name="RecordPoint_ActiveItemWebId">
    <vt:lpwstr>{0a24ff59-26de-499e-af6c-870128dbbd86}</vt:lpwstr>
  </property>
  <property fmtid="{D5CDD505-2E9C-101B-9397-08002B2CF9AE}" pid="18" name="RecordPoint_ActiveItemSiteId">
    <vt:lpwstr>{cec154f9-42c6-4481-9906-45443d426660}</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